
<file path=[Content_Types].xml><?xml version="1.0" encoding="utf-8"?>
<Types xmlns="http://schemas.openxmlformats.org/package/2006/content-types">
  <Override PartName="/_rels/.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13.png" ContentType="image/png"/>
  <Override PartName="/word/media/image12.png" ContentType="image/png"/>
  <Override PartName="/word/media/image11.png" ContentType="image/png"/>
  <Override PartName="/word/media/image3.png" ContentType="image/png"/>
  <Override PartName="/word/media/image2.png" ContentType="image/png"/>
  <Override PartName="/word/media/image4.png" ContentType="image/png"/>
  <Override PartName="/word/media/image1.gif" ContentType="image/gif"/>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9.png" ContentType="image/png"/>
  <Override PartName="/word/numbering.xml" ContentType="application/vnd.openxmlformats-officedocument.wordprocessingml.numbering+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left="-1276" w:hanging="0"/>
        <w:rPr>
          <w:rFonts w:ascii="Times New Roman" w:hAnsi="Times New Roman" w:cs="Times New Roman"/>
        </w:rPr>
      </w:pPr>
      <w:bookmarkStart w:id="0" w:name="_Hlk66646742"/>
      <w:bookmarkStart w:id="1" w:name="_Hlk66646742"/>
      <w:bookmarkEnd w:id="1"/>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bookmarkStart w:id="2" w:name="_Hlk34755166"/>
      <w:bookmarkStart w:id="3" w:name="_Hlk34755166"/>
      <w:bookmarkEnd w:id="3"/>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drawing>
          <wp:inline distT="0" distB="0" distL="0" distR="0">
            <wp:extent cx="2934335" cy="2541270"/>
            <wp:effectExtent l="0" t="0" r="0" b="0"/>
            <wp:docPr id="1"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4" descr=""/>
                    <pic:cNvPicPr>
                      <a:picLocks noChangeAspect="1" noChangeArrowheads="1"/>
                    </pic:cNvPicPr>
                  </pic:nvPicPr>
                  <pic:blipFill>
                    <a:blip r:embed="rId2"/>
                    <a:stretch>
                      <a:fillRect/>
                    </a:stretch>
                  </pic:blipFill>
                  <pic:spPr bwMode="auto">
                    <a:xfrm>
                      <a:off x="0" y="0"/>
                      <a:ext cx="2934335" cy="2541270"/>
                    </a:xfrm>
                    <a:prstGeom prst="rect">
                      <a:avLst/>
                    </a:prstGeom>
                  </pic:spPr>
                </pic:pic>
              </a:graphicData>
            </a:graphic>
          </wp:inline>
        </w:drawing>
      </w:r>
    </w:p>
    <w:p>
      <w:pPr>
        <w:pStyle w:val="Normal"/>
        <w:jc w:val="center"/>
        <w:rPr>
          <w:rFonts w:ascii="Times New Roman" w:hAnsi="Times New Roman" w:cs="Times New Roman"/>
        </w:rPr>
      </w:pPr>
      <w:r>
        <w:rPr>
          <w:rFonts w:cs="Times New Roman" w:ascii="Times New Roman" w:hAnsi="Times New Roman"/>
        </w:rPr>
      </w:r>
    </w:p>
    <w:p>
      <w:pPr>
        <w:pStyle w:val="Normal"/>
        <w:spacing w:lineRule="auto" w:line="240" w:before="0" w:after="0"/>
        <w:jc w:val="center"/>
        <w:rPr>
          <w:rFonts w:ascii="Times New Roman" w:hAnsi="Times New Roman" w:cs="Times New Roman"/>
          <w:b/>
          <w:b/>
          <w:bCs/>
          <w:color w:val="1F497D"/>
          <w:sz w:val="48"/>
          <w:szCs w:val="48"/>
        </w:rPr>
      </w:pPr>
      <w:r>
        <w:rPr>
          <w:rFonts w:cs="Times New Roman" w:ascii="Times New Roman" w:hAnsi="Times New Roman"/>
          <w:b/>
          <w:bCs/>
          <w:color w:val="1F497D"/>
          <w:sz w:val="48"/>
          <w:szCs w:val="48"/>
        </w:rPr>
        <w:t xml:space="preserve">Стратегія розвитку </w:t>
      </w:r>
    </w:p>
    <w:p>
      <w:pPr>
        <w:pStyle w:val="Normal"/>
        <w:spacing w:lineRule="auto" w:line="240" w:before="0" w:after="0"/>
        <w:jc w:val="center"/>
        <w:rPr>
          <w:rFonts w:ascii="Times New Roman" w:hAnsi="Times New Roman" w:cs="Times New Roman"/>
          <w:b/>
          <w:b/>
          <w:bCs/>
          <w:color w:val="1F497D"/>
          <w:sz w:val="48"/>
          <w:szCs w:val="48"/>
        </w:rPr>
      </w:pPr>
      <w:r>
        <w:rPr>
          <w:rFonts w:cs="Times New Roman" w:ascii="Times New Roman" w:hAnsi="Times New Roman"/>
          <w:b/>
          <w:bCs/>
          <w:color w:val="1F497D"/>
          <w:sz w:val="48"/>
          <w:szCs w:val="48"/>
        </w:rPr>
        <w:t xml:space="preserve">Каховської міської територіальної громади </w:t>
      </w:r>
    </w:p>
    <w:p>
      <w:pPr>
        <w:pStyle w:val="Normal"/>
        <w:spacing w:lineRule="auto" w:line="240" w:before="0" w:after="0"/>
        <w:jc w:val="center"/>
        <w:rPr>
          <w:rFonts w:ascii="Times New Roman" w:hAnsi="Times New Roman" w:cs="Times New Roman"/>
          <w:b/>
          <w:b/>
          <w:bCs/>
          <w:color w:val="1F497D"/>
          <w:sz w:val="48"/>
          <w:szCs w:val="48"/>
        </w:rPr>
      </w:pPr>
      <w:r>
        <w:rPr>
          <w:rFonts w:cs="Times New Roman" w:ascii="Times New Roman" w:hAnsi="Times New Roman"/>
          <w:b/>
          <w:bCs/>
          <w:color w:val="1F497D"/>
          <w:sz w:val="48"/>
          <w:szCs w:val="48"/>
        </w:rPr>
        <w:t xml:space="preserve">на </w:t>
      </w:r>
      <w:r>
        <w:rPr>
          <w:rFonts w:cs="Times New Roman" w:ascii="Times New Roman" w:hAnsi="Times New Roman"/>
          <w:b/>
          <w:bCs/>
          <w:color w:val="1F497D"/>
          <w:sz w:val="48"/>
          <w:szCs w:val="48"/>
          <w:lang w:val="ru-RU"/>
        </w:rPr>
        <w:t>2022-</w:t>
      </w:r>
      <w:r>
        <w:rPr>
          <w:rFonts w:cs="Times New Roman" w:ascii="Times New Roman" w:hAnsi="Times New Roman"/>
          <w:b/>
          <w:bCs/>
          <w:color w:val="1F497D"/>
          <w:sz w:val="48"/>
          <w:szCs w:val="48"/>
        </w:rPr>
        <w:t>2027 роки</w:t>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tabs>
          <w:tab w:val="left" w:pos="3818" w:leader="none"/>
          <w:tab w:val="center" w:pos="5032" w:leader="none"/>
        </w:tabs>
        <w:rPr>
          <w:rFonts w:ascii="Times New Roman" w:hAnsi="Times New Roman" w:cs="Times New Roman"/>
          <w:sz w:val="28"/>
          <w:szCs w:val="28"/>
        </w:rPr>
      </w:pPr>
      <w:r>
        <w:rPr>
          <w:rFonts w:cs="Times New Roman" w:ascii="Times New Roman" w:hAnsi="Times New Roman"/>
          <w:sz w:val="28"/>
          <w:szCs w:val="28"/>
        </w:rPr>
        <w:tab/>
        <w:tab/>
        <w:t>2021 рік</w:t>
      </w:r>
    </w:p>
    <w:p>
      <w:pPr>
        <w:pStyle w:val="Normal"/>
        <w:ind w:left="-1418" w:hanging="0"/>
        <w:rPr>
          <w:rFonts w:ascii="Times New Roman" w:hAnsi="Times New Roman" w:cs="Times New Roman"/>
          <w:sz w:val="24"/>
          <w:szCs w:val="24"/>
          <w:lang w:val="en-US"/>
        </w:rPr>
      </w:pPr>
      <w:bookmarkStart w:id="4" w:name="_Hlk347551661"/>
      <w:bookmarkStart w:id="5" w:name="_Hlk347551661"/>
      <w:bookmarkEnd w:id="5"/>
      <w:r>
        <w:rPr>
          <w:rFonts w:cs="Times New Roman" w:ascii="Times New Roman" w:hAnsi="Times New Roman"/>
          <w:sz w:val="24"/>
          <w:szCs w:val="24"/>
          <w:lang w:val="en-US"/>
        </w:rPr>
      </w:r>
    </w:p>
    <w:p>
      <w:pPr>
        <w:pStyle w:val="Normal"/>
        <w:jc w:val="center"/>
        <w:rPr/>
      </w:pPr>
      <w:r>
        <w:rPr>
          <w:rFonts w:cs="Times New Roman" w:ascii="Times New Roman" w:hAnsi="Times New Roman"/>
          <w:b/>
          <w:color w:val="1F497D"/>
          <w:sz w:val="24"/>
          <w:szCs w:val="24"/>
        </w:rPr>
        <w:t>Зміст</w:t>
      </w:r>
    </w:p>
    <w:p>
      <w:pPr>
        <w:pStyle w:val="13"/>
        <w:rPr>
          <w:rFonts w:ascii="Arial" w:hAnsi="Arial" w:eastAsia="" w:cs="" w:asciiTheme="minorHAnsi" w:cstheme="minorBidi" w:eastAsiaTheme="minorEastAsia" w:hAnsiTheme="minorHAnsi"/>
          <w:b w:val="false"/>
          <w:b w:val="false"/>
          <w:bCs w:val="false"/>
          <w:caps w:val="false"/>
          <w:smallCaps w:val="false"/>
          <w:sz w:val="22"/>
          <w:szCs w:val="22"/>
          <w:lang w:val="uk-UA" w:eastAsia="uk-UA"/>
        </w:rPr>
      </w:pPr>
      <w:r>
        <w:fldChar w:fldCharType="begin"/>
      </w:r>
      <w:r>
        <w:instrText> TOC \z \o "1-3" \u \h</w:instrText>
      </w:r>
      <w:r>
        <w:fldChar w:fldCharType="separate"/>
      </w:r>
      <w:hyperlink w:anchor="_Toc84967165">
        <w:r>
          <w:rPr>
            <w:webHidden/>
            <w:rStyle w:val="Style21"/>
            <w:rFonts w:eastAsia="Calibri" w:ascii="Times New Roman" w:hAnsi="Times New Roman"/>
            <w:vanish w:val="false"/>
          </w:rPr>
          <w:t>Вітальне слово міського голови</w:t>
        </w:r>
        <w:r>
          <w:rPr>
            <w:webHidden/>
          </w:rPr>
          <w:fldChar w:fldCharType="begin"/>
        </w:r>
        <w:r>
          <w:rPr>
            <w:webHidden/>
          </w:rPr>
          <w:instrText>PAGEREF _Toc84967165 \h</w:instrText>
        </w:r>
        <w:r>
          <w:rPr>
            <w:webHidden/>
          </w:rPr>
          <w:fldChar w:fldCharType="separate"/>
        </w:r>
        <w:r>
          <w:rPr>
            <w:rStyle w:val="Style21"/>
            <w:vanish w:val="false"/>
          </w:rPr>
          <w:tab/>
          <w:t>3</w:t>
        </w:r>
        <w:r>
          <w:rPr>
            <w:webHidden/>
          </w:rPr>
          <w:fldChar w:fldCharType="end"/>
        </w:r>
      </w:hyperlink>
    </w:p>
    <w:p>
      <w:pPr>
        <w:pStyle w:val="13"/>
        <w:rPr>
          <w:rFonts w:ascii="Arial" w:hAnsi="Arial" w:eastAsia="" w:cs="" w:asciiTheme="minorHAnsi" w:cstheme="minorBidi" w:eastAsiaTheme="minorEastAsia" w:hAnsiTheme="minorHAnsi"/>
          <w:b w:val="false"/>
          <w:b w:val="false"/>
          <w:bCs w:val="false"/>
          <w:caps w:val="false"/>
          <w:smallCaps w:val="false"/>
          <w:sz w:val="22"/>
          <w:szCs w:val="22"/>
          <w:lang w:val="uk-UA" w:eastAsia="uk-UA"/>
        </w:rPr>
      </w:pPr>
      <w:hyperlink w:anchor="_Toc84967166">
        <w:r>
          <w:rPr>
            <w:webHidden/>
            <w:rStyle w:val="Style21"/>
            <w:rFonts w:eastAsia="Calibri" w:ascii="Times New Roman" w:hAnsi="Times New Roman"/>
            <w:vanish w:val="false"/>
          </w:rPr>
          <w:t>ВСТУП</w:t>
        </w:r>
        <w:r>
          <w:rPr>
            <w:webHidden/>
          </w:rPr>
          <w:fldChar w:fldCharType="begin"/>
        </w:r>
        <w:r>
          <w:rPr>
            <w:webHidden/>
          </w:rPr>
          <w:instrText>PAGEREF _Toc84967166 \h</w:instrText>
        </w:r>
        <w:r>
          <w:rPr>
            <w:webHidden/>
          </w:rPr>
          <w:fldChar w:fldCharType="separate"/>
        </w:r>
        <w:r>
          <w:rPr>
            <w:rStyle w:val="Style21"/>
            <w:vanish w:val="false"/>
          </w:rPr>
          <w:tab/>
          <w:t>4</w:t>
        </w:r>
        <w:r>
          <w:rPr>
            <w:webHidden/>
          </w:rPr>
          <w:fldChar w:fldCharType="end"/>
        </w:r>
      </w:hyperlink>
    </w:p>
    <w:p>
      <w:pPr>
        <w:pStyle w:val="13"/>
        <w:rPr>
          <w:rFonts w:ascii="Arial" w:hAnsi="Arial" w:eastAsia="" w:cs="" w:asciiTheme="minorHAnsi" w:cstheme="minorBidi" w:eastAsiaTheme="minorEastAsia" w:hAnsiTheme="minorHAnsi"/>
          <w:b w:val="false"/>
          <w:b w:val="false"/>
          <w:bCs w:val="false"/>
          <w:caps w:val="false"/>
          <w:smallCaps w:val="false"/>
          <w:sz w:val="22"/>
          <w:szCs w:val="22"/>
          <w:lang w:val="uk-UA" w:eastAsia="uk-UA"/>
        </w:rPr>
      </w:pPr>
      <w:hyperlink w:anchor="_Toc84967167">
        <w:r>
          <w:rPr>
            <w:webHidden/>
            <w:rStyle w:val="Style21"/>
            <w:rFonts w:eastAsia="Calibri" w:ascii="Times New Roman" w:hAnsi="Times New Roman"/>
            <w:vanish w:val="false"/>
          </w:rPr>
          <w:t>І.</w:t>
        </w:r>
        <w:r>
          <w:rPr>
            <w:rStyle w:val="Style21"/>
            <w:rFonts w:eastAsia="" w:cs="" w:cstheme="minorBidi" w:eastAsiaTheme="minorEastAsia"/>
            <w:b w:val="false"/>
            <w:bCs w:val="false"/>
            <w:caps w:val="false"/>
            <w:smallCaps w:val="false"/>
            <w:sz w:val="22"/>
            <w:szCs w:val="22"/>
            <w:lang w:val="uk-UA" w:eastAsia="uk-UA"/>
          </w:rPr>
          <w:tab/>
        </w:r>
        <w:r>
          <w:rPr>
            <w:rStyle w:val="Style21"/>
            <w:rFonts w:eastAsia="Calibri" w:ascii="Times New Roman" w:hAnsi="Times New Roman"/>
          </w:rPr>
          <w:t>АНАЛІТИЧНА ЧАСТИНА</w:t>
        </w:r>
        <w:r>
          <w:rPr>
            <w:webHidden/>
          </w:rPr>
          <w:fldChar w:fldCharType="begin"/>
        </w:r>
        <w:r>
          <w:rPr>
            <w:webHidden/>
          </w:rPr>
          <w:instrText>PAGEREF _Toc84967167 \h</w:instrText>
        </w:r>
        <w:r>
          <w:rPr>
            <w:webHidden/>
          </w:rPr>
          <w:fldChar w:fldCharType="separate"/>
        </w:r>
        <w:r>
          <w:rPr>
            <w:rStyle w:val="Style21"/>
            <w:vanish w:val="false"/>
          </w:rPr>
          <w:tab/>
          <w:t>8</w:t>
        </w:r>
        <w:r>
          <w:rPr>
            <w:webHidden/>
          </w:rPr>
          <w:fldChar w:fldCharType="end"/>
        </w:r>
      </w:hyperlink>
    </w:p>
    <w:p>
      <w:pPr>
        <w:pStyle w:val="13"/>
        <w:rPr>
          <w:rFonts w:ascii="Arial" w:hAnsi="Arial" w:eastAsia="" w:cs="" w:asciiTheme="minorHAnsi" w:cstheme="minorBidi" w:eastAsiaTheme="minorEastAsia" w:hAnsiTheme="minorHAnsi"/>
          <w:b w:val="false"/>
          <w:b w:val="false"/>
          <w:bCs w:val="false"/>
          <w:caps w:val="false"/>
          <w:smallCaps w:val="false"/>
          <w:sz w:val="22"/>
          <w:szCs w:val="22"/>
          <w:lang w:val="uk-UA" w:eastAsia="uk-UA"/>
        </w:rPr>
      </w:pPr>
      <w:hyperlink w:anchor="_Toc84967168">
        <w:r>
          <w:rPr>
            <w:webHidden/>
            <w:rStyle w:val="Style21"/>
            <w:rFonts w:ascii="Times New Roman" w:hAnsi="Times New Roman"/>
            <w:b/>
            <w:bCs/>
            <w:vanish w:val="false"/>
          </w:rPr>
          <w:t>1. Актуальний стан та основні тенденції соціально-економічного розвитку громади</w:t>
        </w:r>
        <w:r>
          <w:rPr>
            <w:rStyle w:val="Style21"/>
            <w:vanish w:val="false"/>
          </w:rPr>
          <w:tab/>
          <w:t>8</w:t>
        </w:r>
      </w:hyperlink>
      <w:r>
        <w:rPr>
          <w:rStyle w:val="Style21"/>
          <w:rFonts w:eastAsia="Calibri" w:ascii="Times New Roman" w:hAnsi="Times New Roman"/>
          <w:vanish w:val="false"/>
        </w:rPr>
        <w:t>1.1. Географічне розташування, ландшафт та природні ресурси</w:t>
      </w:r>
      <w:r>
        <w:rPr>
          <w:rStyle w:val="Style21"/>
          <w:vanish w:val="false"/>
        </w:rPr>
        <w:tab/>
        <w:t>8</w:t>
      </w:r>
      <w:r>
        <w:rPr>
          <w:rStyle w:val="Style21"/>
          <w:rFonts w:eastAsia="Calibri" w:ascii="Times New Roman" w:hAnsi="Times New Roman"/>
          <w:vanish w:val="false"/>
        </w:rPr>
        <w:t>1.2. Людський капітал Каховської громади</w:t>
      </w:r>
      <w:r>
        <w:rPr>
          <w:rStyle w:val="Style21"/>
          <w:vanish w:val="false"/>
        </w:rPr>
        <w:tab/>
        <w:t>12</w:t>
      </w:r>
      <w:r>
        <w:rPr>
          <w:rStyle w:val="Style21"/>
          <w:rFonts w:eastAsia="Calibri" w:ascii="Times New Roman" w:hAnsi="Times New Roman"/>
          <w:vanish w:val="false"/>
        </w:rPr>
        <w:t>1.3. Наявна інфраструктура Каховської громади</w:t>
      </w:r>
      <w:r>
        <w:rPr>
          <w:rStyle w:val="Style21"/>
          <w:vanish w:val="false"/>
        </w:rPr>
        <w:tab/>
        <w:t>15</w:t>
      </w:r>
      <w:r>
        <w:rPr>
          <w:rStyle w:val="Style21"/>
          <w:rFonts w:eastAsia="Calibri" w:ascii="Times New Roman" w:hAnsi="Times New Roman"/>
          <w:vanish w:val="false"/>
        </w:rPr>
        <w:t>1.4. Економіка і фінанси</w:t>
      </w:r>
      <w:r>
        <w:rPr>
          <w:rStyle w:val="Style21"/>
          <w:vanish w:val="false"/>
        </w:rPr>
        <w:tab/>
        <w:t>16</w:t>
      </w:r>
      <w:r>
        <w:rPr>
          <w:rStyle w:val="Style21"/>
          <w:rFonts w:eastAsia="Calibri" w:ascii="Times New Roman" w:hAnsi="Times New Roman"/>
          <w:vanish w:val="false"/>
        </w:rPr>
        <w:t>1.5. Охорона навколишнього середовища</w:t>
      </w:r>
      <w:r>
        <w:rPr>
          <w:rStyle w:val="Style21"/>
          <w:vanish w:val="false"/>
        </w:rPr>
        <w:tab/>
        <w:t>18</w:t>
      </w:r>
      <w:r>
        <w:rPr>
          <w:rStyle w:val="Style21"/>
          <w:rFonts w:eastAsia="Calibri" w:ascii="Times New Roman" w:hAnsi="Times New Roman"/>
          <w:vanish w:val="false"/>
        </w:rPr>
        <w:t>1.6. Результати аналізу соціально-економічного розвитку Каховської громади</w:t>
      </w:r>
      <w:r>
        <w:rPr>
          <w:rStyle w:val="Style21"/>
          <w:vanish w:val="false"/>
        </w:rPr>
        <w:tab/>
        <w:t>19</w:t>
      </w:r>
      <w:r>
        <w:rPr>
          <w:rStyle w:val="Style21"/>
          <w:rFonts w:ascii="Times New Roman" w:hAnsi="Times New Roman"/>
          <w:b/>
          <w:bCs/>
          <w:vanish w:val="false"/>
        </w:rPr>
        <w:t>2. Аналіз сильних і слабких сторін територіальної громади, можливостей і загроз</w:t>
      </w:r>
      <w:r>
        <w:rPr>
          <w:rStyle w:val="Style21"/>
          <w:vanish w:val="false"/>
        </w:rPr>
        <w:tab/>
        <w:t>20</w:t>
      </w:r>
      <w:r>
        <w:rPr>
          <w:rStyle w:val="Style21"/>
          <w:rFonts w:eastAsia="Calibri" w:ascii="Times New Roman" w:hAnsi="Times New Roman"/>
          <w:vanish w:val="false"/>
        </w:rPr>
        <w:t>2.1. SWOT-аналіз Каховської громади</w:t>
      </w:r>
      <w:r>
        <w:rPr>
          <w:rStyle w:val="Style21"/>
          <w:vanish w:val="false"/>
        </w:rPr>
        <w:tab/>
        <w:t>20</w:t>
      </w:r>
      <w:r>
        <w:rPr>
          <w:rStyle w:val="Style21"/>
          <w:rFonts w:eastAsia="Calibri" w:ascii="Times New Roman" w:hAnsi="Times New Roman"/>
          <w:vanish w:val="false"/>
        </w:rPr>
        <w:t>2.2. Характеристика порівняльних переваг, викликів та ризиків перспективного розвитку громади</w:t>
      </w:r>
      <w:r>
        <w:rPr>
          <w:rStyle w:val="Style21"/>
          <w:vanish w:val="false"/>
        </w:rPr>
        <w:tab/>
        <w:t>21</w:t>
      </w:r>
      <w:r>
        <w:rPr>
          <w:rStyle w:val="Style21"/>
          <w:rFonts w:eastAsia="Calibri" w:ascii="Times New Roman" w:hAnsi="Times New Roman"/>
          <w:vanish w:val="false"/>
        </w:rPr>
        <w:t>2.3. Визначення потенціалу для розвитку громади та основних проблем, що стримують її розвиток</w:t>
      </w:r>
      <w:r>
        <w:rPr>
          <w:rStyle w:val="Style21"/>
          <w:vanish w:val="false"/>
        </w:rPr>
        <w:tab/>
        <w:t>24</w:t>
      </w:r>
      <w:r>
        <w:rPr>
          <w:rStyle w:val="Style21"/>
          <w:rFonts w:eastAsia="Calibri" w:ascii="Times New Roman" w:hAnsi="Times New Roman"/>
          <w:vanish w:val="false"/>
        </w:rPr>
        <w:t>ІІ. СЦЕНАРІЇ РОЗВИТКУ КАХОВСЬКОЇ ТЕРИТОРІАЛЬНОЇ ГРОМАДИ</w:t>
      </w:r>
      <w:r>
        <w:rPr>
          <w:rStyle w:val="Style21"/>
          <w:vanish w:val="false"/>
        </w:rPr>
        <w:tab/>
        <w:t>25</w:t>
      </w:r>
    </w:p>
    <w:p>
      <w:pPr>
        <w:pStyle w:val="13"/>
        <w:rPr>
          <w:rFonts w:ascii="Arial" w:hAnsi="Arial" w:eastAsia="" w:cs="" w:asciiTheme="minorHAnsi" w:cstheme="minorBidi" w:eastAsiaTheme="minorEastAsia" w:hAnsiTheme="minorHAnsi"/>
          <w:b w:val="false"/>
          <w:b w:val="false"/>
          <w:bCs w:val="false"/>
          <w:caps w:val="false"/>
          <w:smallCaps w:val="false"/>
          <w:sz w:val="22"/>
          <w:szCs w:val="22"/>
          <w:lang w:val="uk-UA" w:eastAsia="uk-UA"/>
        </w:rPr>
      </w:pPr>
      <w:r>
        <w:rPr>
          <w:rStyle w:val="Style21"/>
          <w:rFonts w:eastAsia="Calibri" w:ascii="Times New Roman" w:hAnsi="Times New Roman"/>
          <w:vanish w:val="false"/>
        </w:rPr>
        <w:t>ІІІ. СТРАТЕГІЧНЕ БАЧЕННЯ РОЗВИТКУ КАХОВСЬКОЇ ТЕРИТОРІАЛЬНОЇ ГРОМАДИ</w:t>
      </w:r>
      <w:r>
        <w:rPr>
          <w:rStyle w:val="Style21"/>
          <w:vanish w:val="false"/>
        </w:rPr>
        <w:tab/>
        <w:t>28</w:t>
      </w:r>
    </w:p>
    <w:p>
      <w:pPr>
        <w:pStyle w:val="13"/>
        <w:rPr>
          <w:rFonts w:ascii="Arial" w:hAnsi="Arial" w:eastAsia="" w:cs="" w:asciiTheme="minorHAnsi" w:cstheme="minorBidi" w:eastAsiaTheme="minorEastAsia" w:hAnsiTheme="minorHAnsi"/>
          <w:b w:val="false"/>
          <w:b w:val="false"/>
          <w:bCs w:val="false"/>
          <w:caps w:val="false"/>
          <w:smallCaps w:val="false"/>
          <w:sz w:val="22"/>
          <w:szCs w:val="22"/>
          <w:lang w:val="uk-UA" w:eastAsia="uk-UA"/>
        </w:rPr>
      </w:pPr>
      <w:r>
        <w:rPr>
          <w:rStyle w:val="Style21"/>
          <w:rFonts w:eastAsia="Calibri" w:ascii="Times New Roman" w:hAnsi="Times New Roman"/>
          <w:vanish w:val="false"/>
        </w:rPr>
        <w:t>І</w:t>
      </w:r>
      <w:r>
        <w:rPr>
          <w:rStyle w:val="Style21"/>
          <w:rFonts w:eastAsia="Calibri" w:ascii="Times New Roman" w:hAnsi="Times New Roman"/>
          <w:lang w:val="en-US"/>
        </w:rPr>
        <w:t>V</w:t>
      </w:r>
      <w:r>
        <w:rPr>
          <w:rStyle w:val="Style21"/>
          <w:rFonts w:eastAsia="Calibri" w:ascii="Times New Roman" w:hAnsi="Times New Roman"/>
        </w:rPr>
        <w:t>. СТРАТЕГІЧНІ, ОПЕРАТИВНІ ЦІЛІ ТА ЗАВДАННЯ РОЗВИТКУ КАХОВСЬКОЇ ТЕРИТОРІАЛЬНОЇ ГРОМАДИ</w:t>
      </w:r>
      <w:r>
        <w:rPr>
          <w:rStyle w:val="Style21"/>
          <w:vanish w:val="false"/>
        </w:rPr>
        <w:tab/>
        <w:t>28</w:t>
      </w:r>
    </w:p>
    <w:p>
      <w:pPr>
        <w:pStyle w:val="13"/>
        <w:rPr>
          <w:rFonts w:ascii="Arial" w:hAnsi="Arial" w:eastAsia="" w:cs="" w:asciiTheme="minorHAnsi" w:cstheme="minorBidi" w:eastAsiaTheme="minorEastAsia" w:hAnsiTheme="minorHAnsi"/>
          <w:b w:val="false"/>
          <w:b w:val="false"/>
          <w:bCs w:val="false"/>
          <w:caps w:val="false"/>
          <w:smallCaps w:val="false"/>
          <w:sz w:val="22"/>
          <w:szCs w:val="22"/>
          <w:lang w:val="uk-UA" w:eastAsia="uk-UA"/>
        </w:rPr>
      </w:pPr>
      <w:r>
        <w:rPr>
          <w:rStyle w:val="Style21"/>
          <w:rFonts w:eastAsia="Calibri" w:ascii="Times New Roman" w:hAnsi="Times New Roman"/>
          <w:vanish w:val="false"/>
        </w:rPr>
        <w:t>Стратегічна ціль 1. Економічний розвиток Каховської громади</w:t>
      </w:r>
      <w:r>
        <w:rPr>
          <w:rStyle w:val="Style21"/>
          <w:vanish w:val="false"/>
        </w:rPr>
        <w:tab/>
        <w:t>30</w:t>
      </w:r>
    </w:p>
    <w:p>
      <w:pPr>
        <w:pStyle w:val="13"/>
        <w:rPr>
          <w:rFonts w:ascii="Arial" w:hAnsi="Arial" w:eastAsia="" w:cs="" w:asciiTheme="minorHAnsi" w:cstheme="minorBidi" w:eastAsiaTheme="minorEastAsia" w:hAnsiTheme="minorHAnsi"/>
          <w:b w:val="false"/>
          <w:b w:val="false"/>
          <w:bCs w:val="false"/>
          <w:caps w:val="false"/>
          <w:smallCaps w:val="false"/>
          <w:sz w:val="22"/>
          <w:szCs w:val="22"/>
          <w:lang w:val="uk-UA" w:eastAsia="uk-UA"/>
        </w:rPr>
      </w:pPr>
      <w:r>
        <w:rPr>
          <w:rStyle w:val="Style21"/>
          <w:rFonts w:eastAsia="Calibri" w:ascii="Times New Roman" w:hAnsi="Times New Roman"/>
          <w:vanish w:val="false"/>
        </w:rPr>
        <w:t>Оперативна ціль 1.1. Створення сприятливого середовища для розвитку місцевого бізнесу</w:t>
      </w:r>
      <w:r>
        <w:rPr>
          <w:rStyle w:val="Style21"/>
          <w:vanish w:val="false"/>
        </w:rPr>
        <w:tab/>
        <w:t>31</w:t>
      </w:r>
      <w:r>
        <w:rPr>
          <w:rStyle w:val="Style21"/>
          <w:rFonts w:eastAsia="Calibri" w:ascii="Times New Roman" w:hAnsi="Times New Roman"/>
          <w:vanish w:val="false"/>
        </w:rPr>
        <w:t>Оперативна ціль 1.2. Розвиток інвестиційного клімату громади</w:t>
      </w:r>
      <w:r>
        <w:rPr>
          <w:rStyle w:val="Style21"/>
          <w:vanish w:val="false"/>
        </w:rPr>
        <w:tab/>
        <w:t>32</w:t>
      </w:r>
      <w:r>
        <w:rPr>
          <w:rStyle w:val="Style21"/>
          <w:rFonts w:eastAsia="Calibri" w:ascii="Times New Roman" w:hAnsi="Times New Roman"/>
          <w:vanish w:val="false"/>
        </w:rPr>
        <w:t>Оперативна ціль 1.3. Економіка вражень, економіка сенсів: нова економічна пропозиція для створення сильних територіальних брендів на основі використання історико-культурної спадщини</w:t>
      </w:r>
      <w:r>
        <w:rPr>
          <w:rStyle w:val="Style21"/>
          <w:vanish w:val="false"/>
        </w:rPr>
        <w:tab/>
        <w:t>33</w:t>
      </w:r>
      <w:r>
        <w:rPr>
          <w:rStyle w:val="Style21"/>
          <w:rFonts w:eastAsia="Calibri" w:ascii="Times New Roman" w:hAnsi="Times New Roman"/>
          <w:vanish w:val="false"/>
        </w:rPr>
        <w:t>Стратегічна ціль 2. Розвиток людського капіталу та соціальної інфраструктури</w:t>
      </w:r>
      <w:r>
        <w:rPr>
          <w:rStyle w:val="Style21"/>
          <w:vanish w:val="false"/>
        </w:rPr>
        <w:tab/>
        <w:t>33</w:t>
      </w:r>
    </w:p>
    <w:p>
      <w:pPr>
        <w:pStyle w:val="13"/>
        <w:rPr>
          <w:rFonts w:ascii="Arial" w:hAnsi="Arial" w:eastAsia="" w:cs="" w:asciiTheme="minorHAnsi" w:cstheme="minorBidi" w:eastAsiaTheme="minorEastAsia" w:hAnsiTheme="minorHAnsi"/>
          <w:b w:val="false"/>
          <w:b w:val="false"/>
          <w:bCs w:val="false"/>
          <w:caps w:val="false"/>
          <w:smallCaps w:val="false"/>
          <w:sz w:val="22"/>
          <w:szCs w:val="22"/>
          <w:lang w:val="uk-UA" w:eastAsia="uk-UA"/>
        </w:rPr>
      </w:pPr>
      <w:r>
        <w:rPr>
          <w:rStyle w:val="Style21"/>
          <w:rFonts w:eastAsia="Calibri" w:ascii="Times New Roman" w:hAnsi="Times New Roman"/>
          <w:vanish w:val="false"/>
        </w:rPr>
        <w:t>Оперативна ціль 2.1. Розвиток освітньої галузі громади</w:t>
      </w:r>
      <w:r>
        <w:rPr>
          <w:rStyle w:val="Style21"/>
          <w:vanish w:val="false"/>
        </w:rPr>
        <w:tab/>
        <w:t>34</w:t>
      </w:r>
      <w:r>
        <w:rPr>
          <w:rStyle w:val="Style21"/>
          <w:rFonts w:eastAsia="Calibri" w:ascii="Times New Roman" w:hAnsi="Times New Roman"/>
          <w:vanish w:val="false"/>
        </w:rPr>
        <w:t>Оперативна ціль 2.2. Сучасна охорона здоров’я та медичні послуги</w:t>
      </w:r>
      <w:r>
        <w:rPr>
          <w:rStyle w:val="Style21"/>
          <w:vanish w:val="false"/>
        </w:rPr>
        <w:tab/>
        <w:t>34</w:t>
      </w:r>
      <w:r>
        <w:rPr>
          <w:rStyle w:val="Style21"/>
          <w:rFonts w:eastAsia="Calibri" w:ascii="Times New Roman" w:hAnsi="Times New Roman"/>
          <w:vanish w:val="false"/>
        </w:rPr>
        <w:t>Оперативна ціль 2.3. Розвиток культури</w:t>
      </w:r>
      <w:r>
        <w:rPr>
          <w:rStyle w:val="Style21"/>
          <w:vanish w:val="false"/>
        </w:rPr>
        <w:tab/>
        <w:t>34</w:t>
      </w:r>
      <w:r>
        <w:rPr>
          <w:rStyle w:val="Style21"/>
          <w:rFonts w:eastAsia="Calibri" w:ascii="Times New Roman" w:hAnsi="Times New Roman"/>
          <w:vanish w:val="false"/>
        </w:rPr>
        <w:t>Оперативна ціль 2.4. Створення умов для розвитку фізичної культури та спорту</w:t>
      </w:r>
      <w:r>
        <w:rPr>
          <w:rStyle w:val="Style21"/>
          <w:vanish w:val="false"/>
        </w:rPr>
        <w:tab/>
        <w:t>35</w:t>
      </w:r>
      <w:r>
        <w:rPr>
          <w:rStyle w:val="Style21"/>
          <w:rFonts w:eastAsia="Calibri" w:ascii="Times New Roman" w:hAnsi="Times New Roman"/>
          <w:vanish w:val="false"/>
        </w:rPr>
        <w:t>Оперативна ціль 2.5. Активна участь мешканців у житті громади та соціальні послуги</w:t>
      </w:r>
      <w:r>
        <w:rPr>
          <w:rStyle w:val="Style21"/>
          <w:vanish w:val="false"/>
        </w:rPr>
        <w:tab/>
        <w:t>35</w:t>
      </w:r>
      <w:r>
        <w:rPr>
          <w:rStyle w:val="Style21"/>
          <w:rFonts w:eastAsia="Calibri" w:ascii="Times New Roman" w:hAnsi="Times New Roman"/>
          <w:vanish w:val="false"/>
        </w:rPr>
        <w:t>Стратегічна ціль 3. Висока якість життя та послуг для мешканців громади</w:t>
      </w:r>
      <w:r>
        <w:rPr>
          <w:rStyle w:val="Style21"/>
          <w:vanish w:val="false"/>
        </w:rPr>
        <w:tab/>
        <w:t>36</w:t>
      </w:r>
    </w:p>
    <w:p>
      <w:pPr>
        <w:pStyle w:val="13"/>
        <w:rPr>
          <w:rFonts w:ascii="Arial" w:hAnsi="Arial" w:eastAsia="" w:cs="" w:asciiTheme="minorHAnsi" w:cstheme="minorBidi" w:eastAsiaTheme="minorEastAsia" w:hAnsiTheme="minorHAnsi"/>
          <w:b w:val="false"/>
          <w:b w:val="false"/>
          <w:bCs w:val="false"/>
          <w:caps w:val="false"/>
          <w:smallCaps w:val="false"/>
          <w:sz w:val="22"/>
          <w:szCs w:val="22"/>
          <w:lang w:val="uk-UA" w:eastAsia="uk-UA"/>
        </w:rPr>
      </w:pPr>
      <w:r>
        <w:rPr>
          <w:rStyle w:val="Style21"/>
          <w:rFonts w:eastAsia="Calibri" w:ascii="Times New Roman" w:hAnsi="Times New Roman"/>
          <w:vanish w:val="false"/>
        </w:rPr>
        <w:t>Оперативна ціль 3.1. Безпека громади і комфорт мешканців</w:t>
      </w:r>
      <w:r>
        <w:rPr>
          <w:rStyle w:val="Style21"/>
          <w:vanish w:val="false"/>
        </w:rPr>
        <w:tab/>
        <w:t>36</w:t>
      </w:r>
      <w:r>
        <w:rPr>
          <w:rStyle w:val="Style21"/>
          <w:rFonts w:eastAsia="Calibri" w:ascii="Times New Roman" w:hAnsi="Times New Roman"/>
          <w:vanish w:val="false"/>
        </w:rPr>
        <w:t>Оперативна ціль 3.2. Комунальне господарство та екологія</w:t>
      </w:r>
      <w:r>
        <w:rPr>
          <w:rStyle w:val="Style21"/>
          <w:vanish w:val="false"/>
        </w:rPr>
        <w:tab/>
        <w:t>37</w:t>
      </w:r>
      <w:r>
        <w:rPr>
          <w:rStyle w:val="Style21"/>
          <w:rFonts w:ascii="Times New Roman" w:hAnsi="Times New Roman"/>
          <w:vanish w:val="false"/>
          <w:lang w:val="en-US"/>
        </w:rPr>
        <w:t>V</w:t>
      </w:r>
      <w:r>
        <w:rPr>
          <w:rStyle w:val="Style21"/>
          <w:rFonts w:ascii="Times New Roman" w:hAnsi="Times New Roman"/>
        </w:rPr>
        <w:t>. АНАЛІЗ ВІДПОВІДНОСТІ ПОЛОЖЕНЬ СТРАТЕГІЇ РЕГІОНАЛЬНІЙ СТРАТЕГІЇ РОЗВИТКУ</w:t>
      </w:r>
      <w:r>
        <w:rPr>
          <w:rStyle w:val="Style21"/>
          <w:vanish w:val="false"/>
        </w:rPr>
        <w:tab/>
        <w:t>37</w:t>
      </w:r>
    </w:p>
    <w:p>
      <w:pPr>
        <w:pStyle w:val="13"/>
        <w:rPr>
          <w:rFonts w:ascii="Arial" w:hAnsi="Arial" w:eastAsia="" w:cs="" w:asciiTheme="minorHAnsi" w:cstheme="minorBidi" w:eastAsiaTheme="minorEastAsia" w:hAnsiTheme="minorHAnsi"/>
          <w:b w:val="false"/>
          <w:b w:val="false"/>
          <w:bCs w:val="false"/>
          <w:caps w:val="false"/>
          <w:smallCaps w:val="false"/>
          <w:sz w:val="22"/>
          <w:szCs w:val="22"/>
          <w:lang w:val="uk-UA" w:eastAsia="uk-UA"/>
        </w:rPr>
      </w:pPr>
      <w:r>
        <w:rPr>
          <w:rStyle w:val="Style21"/>
          <w:rFonts w:ascii="Times New Roman" w:hAnsi="Times New Roman"/>
          <w:vanish w:val="false"/>
          <w:lang w:val="en-US"/>
        </w:rPr>
        <w:t>VI</w:t>
      </w:r>
      <w:r>
        <w:rPr>
          <w:rStyle w:val="Style21"/>
          <w:rFonts w:ascii="Times New Roman" w:hAnsi="Times New Roman"/>
        </w:rPr>
        <w:t>. ЕТАПИ ТА МЕХАНІЗМИ РЕАЛІЗАЦІЇ СТРАТЕГІЇ</w:t>
      </w:r>
      <w:r>
        <w:rPr>
          <w:rStyle w:val="Style21"/>
          <w:vanish w:val="false"/>
        </w:rPr>
        <w:tab/>
        <w:t>39</w:t>
      </w:r>
    </w:p>
    <w:p>
      <w:pPr>
        <w:pStyle w:val="13"/>
        <w:rPr>
          <w:rFonts w:ascii="Arial" w:hAnsi="Arial" w:eastAsia="" w:cs="" w:asciiTheme="minorHAnsi" w:cstheme="minorBidi" w:eastAsiaTheme="minorEastAsia" w:hAnsiTheme="minorHAnsi"/>
          <w:b w:val="false"/>
          <w:b w:val="false"/>
          <w:bCs w:val="false"/>
          <w:caps w:val="false"/>
          <w:smallCaps w:val="false"/>
          <w:sz w:val="22"/>
          <w:szCs w:val="22"/>
          <w:lang w:val="uk-UA" w:eastAsia="uk-UA"/>
        </w:rPr>
      </w:pPr>
      <w:r>
        <w:rPr>
          <w:rStyle w:val="Style21"/>
          <w:rFonts w:ascii="Times New Roman" w:hAnsi="Times New Roman"/>
          <w:b/>
          <w:bCs/>
          <w:vanish w:val="false"/>
        </w:rPr>
        <w:t>Інституційне та організаційне забезпечення реалізації Стратегії</w:t>
      </w:r>
      <w:r>
        <w:rPr>
          <w:rStyle w:val="Style21"/>
          <w:vanish w:val="false"/>
        </w:rPr>
        <w:tab/>
        <w:t>43</w:t>
      </w:r>
      <w:r>
        <w:rPr>
          <w:rStyle w:val="Style21"/>
          <w:rFonts w:ascii="Times New Roman" w:hAnsi="Times New Roman"/>
          <w:b/>
          <w:bCs/>
          <w:vanish w:val="false"/>
        </w:rPr>
        <w:t>Фінансове забезпечення реалізації Стратегії.</w:t>
      </w:r>
      <w:r>
        <w:rPr>
          <w:rStyle w:val="Style21"/>
          <w:vanish w:val="false"/>
        </w:rPr>
        <w:tab/>
        <w:t>43</w:t>
      </w:r>
      <w:r>
        <w:rPr>
          <w:rStyle w:val="Style21"/>
          <w:rFonts w:ascii="Times New Roman" w:hAnsi="Times New Roman"/>
          <w:b/>
          <w:bCs/>
          <w:vanish w:val="false"/>
        </w:rPr>
        <w:t>Орієнтовний фінансовий план</w:t>
      </w:r>
      <w:r>
        <w:rPr>
          <w:rStyle w:val="Style21"/>
          <w:vanish w:val="false"/>
        </w:rPr>
        <w:tab/>
        <w:t>44</w:t>
      </w:r>
      <w:r>
        <w:rPr>
          <w:rStyle w:val="Style21"/>
          <w:rFonts w:ascii="Times New Roman" w:hAnsi="Times New Roman"/>
          <w:b/>
          <w:bCs/>
          <w:vanish w:val="false"/>
        </w:rPr>
        <w:t>Припущення та ризики</w:t>
      </w:r>
      <w:r>
        <w:rPr>
          <w:rStyle w:val="Style21"/>
          <w:vanish w:val="false"/>
        </w:rPr>
        <w:tab/>
        <w:t>47</w:t>
      </w:r>
      <w:r>
        <w:rPr>
          <w:rStyle w:val="Style21"/>
          <w:rFonts w:ascii="Times New Roman" w:hAnsi="Times New Roman"/>
          <w:vanish w:val="false"/>
          <w:lang w:val="en-US"/>
        </w:rPr>
        <w:t>VII</w:t>
      </w:r>
      <w:r>
        <w:rPr>
          <w:rStyle w:val="Style21"/>
          <w:rFonts w:ascii="Times New Roman" w:hAnsi="Times New Roman"/>
        </w:rPr>
        <w:t>. МОНІТОРИНГ ТА ОЦІНКА РЕЗУЛЬТАТИВНОСТІ РЕАЛІЗАЦІЇ СТРАТЕГІЇ</w:t>
      </w:r>
      <w:r>
        <w:rPr>
          <w:rStyle w:val="Style21"/>
          <w:vanish w:val="false"/>
        </w:rPr>
        <w:tab/>
        <w:t>48</w:t>
      </w:r>
    </w:p>
    <w:p>
      <w:pPr>
        <w:pStyle w:val="Normal"/>
        <w:rPr/>
      </w:pPr>
      <w:r>
        <w:rPr>
          <w:rFonts w:cs="Times New Roman" w:ascii="Times New Roman" w:hAnsi="Times New Roman"/>
          <w:b/>
          <w:color w:val="1F497D"/>
          <w:sz w:val="24"/>
          <w:szCs w:val="24"/>
        </w:rPr>
        <w:t>Перелік таблиць</w:t>
      </w:r>
    </w:p>
    <w:p>
      <w:pPr>
        <w:pStyle w:val="Normal"/>
        <w:spacing w:before="120" w:after="0"/>
        <w:jc w:val="center"/>
        <w:rPr/>
      </w:pPr>
      <w:r>
        <w:rPr/>
      </w:r>
      <w:r>
        <w:fldChar w:fldCharType="end"/>
      </w:r>
    </w:p>
    <w:p>
      <w:pPr>
        <w:pStyle w:val="Tableoffigures"/>
        <w:rPr>
          <w:rFonts w:ascii="Times New Roman" w:hAnsi="Times New Roman" w:eastAsia="" w:cs="Times New Roman" w:eastAsiaTheme="minorEastAsia"/>
          <w:lang w:eastAsia="uk-UA"/>
        </w:rPr>
      </w:pPr>
      <w:r>
        <w:fldChar w:fldCharType="begin"/>
      </w:r>
      <w:r>
        <w:instrText> TOC \c "Таблиця" </w:instrText>
      </w:r>
      <w:r>
        <w:fldChar w:fldCharType="separate"/>
      </w:r>
      <w:hyperlink w:anchor="_Toc84967202">
        <w:r>
          <w:rPr>
            <w:webHidden/>
            <w:rStyle w:val="Style21"/>
            <w:rFonts w:ascii="Times New Roman" w:hAnsi="Times New Roman"/>
            <w:vanish w:val="false"/>
          </w:rPr>
          <w:t>Таблиця 1.</w:t>
        </w:r>
        <w:r>
          <w:rPr>
            <w:rStyle w:val="Style21"/>
            <w:rFonts w:eastAsia="" w:cs="Times New Roman" w:ascii="Times New Roman" w:hAnsi="Times New Roman" w:eastAsiaTheme="minorEastAsia"/>
            <w:lang w:eastAsia="uk-UA"/>
          </w:rPr>
          <w:tab/>
        </w:r>
        <w:r>
          <w:rPr>
            <w:rStyle w:val="Style21"/>
            <w:rFonts w:ascii="Times New Roman" w:hAnsi="Times New Roman"/>
          </w:rPr>
          <w:t>Склад Робочої групи з підготовки Стратегії</w:t>
        </w:r>
        <w:r>
          <w:rPr>
            <w:webHidden/>
          </w:rPr>
          <w:fldChar w:fldCharType="begin"/>
        </w:r>
        <w:r>
          <w:rPr>
            <w:webHidden/>
          </w:rPr>
          <w:instrText>PAGEREF _Toc84967202 \h</w:instrText>
        </w:r>
        <w:r>
          <w:rPr>
            <w:webHidden/>
          </w:rPr>
          <w:fldChar w:fldCharType="separate"/>
        </w:r>
        <w:r>
          <w:rPr>
            <w:rStyle w:val="Style21"/>
            <w:rFonts w:cs="Times New Roman" w:ascii="Times New Roman" w:hAnsi="Times New Roman"/>
            <w:vanish w:val="false"/>
          </w:rPr>
          <w:tab/>
          <w:t>5</w:t>
        </w:r>
        <w:r>
          <w:rPr>
            <w:webHidden/>
          </w:rPr>
          <w:fldChar w:fldCharType="end"/>
        </w:r>
      </w:hyperlink>
    </w:p>
    <w:p>
      <w:pPr>
        <w:pStyle w:val="Tableoffigures"/>
        <w:rPr>
          <w:rFonts w:ascii="Times New Roman" w:hAnsi="Times New Roman" w:eastAsia="" w:cs="Times New Roman" w:eastAsiaTheme="minorEastAsia"/>
          <w:lang w:eastAsia="uk-UA"/>
        </w:rPr>
      </w:pPr>
      <w:hyperlink w:anchor="_Toc84967203">
        <w:r>
          <w:rPr>
            <w:webHidden/>
            <w:rStyle w:val="Style21"/>
            <w:rFonts w:ascii="Times New Roman" w:hAnsi="Times New Roman"/>
            <w:vanish w:val="false"/>
          </w:rPr>
          <w:t>Таблиця 2.</w:t>
        </w:r>
        <w:r>
          <w:rPr>
            <w:rStyle w:val="Style21"/>
            <w:rFonts w:eastAsia="" w:cs="Times New Roman" w:ascii="Times New Roman" w:hAnsi="Times New Roman" w:eastAsiaTheme="minorEastAsia"/>
            <w:lang w:eastAsia="uk-UA"/>
          </w:rPr>
          <w:tab/>
        </w:r>
        <w:r>
          <w:rPr>
            <w:rStyle w:val="Style21"/>
            <w:rFonts w:ascii="Times New Roman" w:hAnsi="Times New Roman"/>
          </w:rPr>
          <w:t>Основні метеорологічні показники Каховської громади</w:t>
        </w:r>
        <w:r>
          <w:rPr>
            <w:webHidden/>
          </w:rPr>
          <w:fldChar w:fldCharType="begin"/>
        </w:r>
        <w:r>
          <w:rPr>
            <w:webHidden/>
          </w:rPr>
          <w:instrText>PAGEREF _Toc84967203 \h</w:instrText>
        </w:r>
        <w:r>
          <w:rPr>
            <w:webHidden/>
          </w:rPr>
          <w:fldChar w:fldCharType="separate"/>
        </w:r>
        <w:r>
          <w:rPr>
            <w:rStyle w:val="Style21"/>
            <w:rFonts w:cs="Times New Roman" w:ascii="Times New Roman" w:hAnsi="Times New Roman"/>
            <w:vanish w:val="false"/>
          </w:rPr>
          <w:tab/>
          <w:t>10</w:t>
        </w:r>
        <w:r>
          <w:rPr>
            <w:webHidden/>
          </w:rPr>
          <w:fldChar w:fldCharType="end"/>
        </w:r>
      </w:hyperlink>
    </w:p>
    <w:p>
      <w:pPr>
        <w:pStyle w:val="Tableoffigures"/>
        <w:rPr>
          <w:rFonts w:ascii="Times New Roman" w:hAnsi="Times New Roman" w:eastAsia="" w:cs="Times New Roman" w:eastAsiaTheme="minorEastAsia"/>
          <w:lang w:eastAsia="uk-UA"/>
        </w:rPr>
      </w:pPr>
      <w:hyperlink w:anchor="_Toc84967204">
        <w:r>
          <w:rPr>
            <w:webHidden/>
            <w:rStyle w:val="Style21"/>
            <w:rFonts w:ascii="Times New Roman" w:hAnsi="Times New Roman"/>
            <w:vanish w:val="false"/>
          </w:rPr>
          <w:t>Таблиця 3.</w:t>
        </w:r>
        <w:r>
          <w:rPr>
            <w:rStyle w:val="Style21"/>
            <w:rFonts w:eastAsia="" w:cs="Times New Roman" w:ascii="Times New Roman" w:hAnsi="Times New Roman" w:eastAsiaTheme="minorEastAsia"/>
            <w:lang w:eastAsia="uk-UA"/>
          </w:rPr>
          <w:tab/>
        </w:r>
        <w:r>
          <w:rPr>
            <w:rStyle w:val="Style21"/>
            <w:rFonts w:ascii="Times New Roman" w:hAnsi="Times New Roman"/>
          </w:rPr>
          <w:t>SWOT-матриця Каховської громади</w:t>
        </w:r>
        <w:r>
          <w:rPr>
            <w:webHidden/>
          </w:rPr>
          <w:fldChar w:fldCharType="begin"/>
        </w:r>
        <w:r>
          <w:rPr>
            <w:webHidden/>
          </w:rPr>
          <w:instrText>PAGEREF _Toc84967204 \h</w:instrText>
        </w:r>
        <w:r>
          <w:rPr>
            <w:webHidden/>
          </w:rPr>
          <w:fldChar w:fldCharType="separate"/>
        </w:r>
        <w:r>
          <w:rPr>
            <w:rStyle w:val="Style21"/>
            <w:rFonts w:cs="Times New Roman" w:ascii="Times New Roman" w:hAnsi="Times New Roman"/>
            <w:vanish w:val="false"/>
          </w:rPr>
          <w:tab/>
          <w:t>21</w:t>
        </w:r>
        <w:r>
          <w:rPr>
            <w:webHidden/>
          </w:rPr>
          <w:fldChar w:fldCharType="end"/>
        </w:r>
      </w:hyperlink>
    </w:p>
    <w:p>
      <w:pPr>
        <w:pStyle w:val="Tableoffigures"/>
        <w:rPr>
          <w:rFonts w:ascii="Times New Roman" w:hAnsi="Times New Roman" w:eastAsia="" w:cs="Times New Roman" w:eastAsiaTheme="minorEastAsia"/>
          <w:lang w:eastAsia="uk-UA"/>
        </w:rPr>
      </w:pPr>
      <w:hyperlink w:anchor="_Toc84967205">
        <w:r>
          <w:rPr>
            <w:webHidden/>
            <w:rStyle w:val="Style21"/>
            <w:rFonts w:ascii="Times New Roman" w:hAnsi="Times New Roman"/>
            <w:vanish w:val="false"/>
          </w:rPr>
          <w:t>Таблиця 4.</w:t>
        </w:r>
        <w:r>
          <w:rPr>
            <w:rStyle w:val="Style21"/>
            <w:rFonts w:eastAsia="" w:cs="Times New Roman" w:ascii="Times New Roman" w:hAnsi="Times New Roman" w:eastAsiaTheme="minorEastAsia"/>
            <w:lang w:eastAsia="uk-UA"/>
          </w:rPr>
          <w:tab/>
        </w:r>
        <w:r>
          <w:rPr>
            <w:rStyle w:val="Style21"/>
            <w:rFonts w:ascii="Times New Roman" w:hAnsi="Times New Roman"/>
          </w:rPr>
          <w:t>Стратегічні, оперативні цілі та завдання</w:t>
        </w:r>
        <w:r>
          <w:rPr>
            <w:webHidden/>
          </w:rPr>
          <w:fldChar w:fldCharType="begin"/>
        </w:r>
        <w:r>
          <w:rPr>
            <w:webHidden/>
          </w:rPr>
          <w:instrText>PAGEREF _Toc84967205 \h</w:instrText>
        </w:r>
        <w:r>
          <w:rPr>
            <w:webHidden/>
          </w:rPr>
          <w:fldChar w:fldCharType="separate"/>
        </w:r>
        <w:r>
          <w:rPr>
            <w:rStyle w:val="Style21"/>
            <w:rFonts w:cs="Times New Roman" w:ascii="Times New Roman" w:hAnsi="Times New Roman"/>
            <w:vanish w:val="false"/>
          </w:rPr>
          <w:tab/>
          <w:t>30</w:t>
        </w:r>
        <w:r>
          <w:rPr>
            <w:webHidden/>
          </w:rPr>
          <w:fldChar w:fldCharType="end"/>
        </w:r>
      </w:hyperlink>
    </w:p>
    <w:p>
      <w:pPr>
        <w:pStyle w:val="Tableoffigures"/>
        <w:rPr>
          <w:rFonts w:ascii="Times New Roman" w:hAnsi="Times New Roman" w:eastAsia="" w:cs="Times New Roman" w:eastAsiaTheme="minorEastAsia"/>
          <w:lang w:eastAsia="uk-UA"/>
        </w:rPr>
      </w:pPr>
      <w:hyperlink w:anchor="_Toc84967206">
        <w:r>
          <w:rPr>
            <w:webHidden/>
            <w:rStyle w:val="Style21"/>
            <w:rFonts w:ascii="Times New Roman" w:hAnsi="Times New Roman"/>
            <w:vanish w:val="false"/>
          </w:rPr>
          <w:t>Таблиця 5.</w:t>
        </w:r>
        <w:r>
          <w:rPr>
            <w:rStyle w:val="Style21"/>
            <w:rFonts w:eastAsia="" w:cs="Times New Roman" w:ascii="Times New Roman" w:hAnsi="Times New Roman" w:eastAsiaTheme="minorEastAsia"/>
            <w:lang w:eastAsia="uk-UA"/>
          </w:rPr>
          <w:tab/>
        </w:r>
        <w:r>
          <w:rPr>
            <w:rStyle w:val="Style21"/>
            <w:rFonts w:ascii="Times New Roman" w:hAnsi="Times New Roman"/>
          </w:rPr>
          <w:t>Узгодженість оперативних цілей Стратегії розвитку Каховської територіальної громади на 2022- 2027 роки з оперативними цілями Стратегії розвитку Херсонської області на період 2021-2027 років</w:t>
        </w:r>
        <w:r>
          <w:rPr>
            <w:webHidden/>
          </w:rPr>
          <w:fldChar w:fldCharType="begin"/>
        </w:r>
        <w:r>
          <w:rPr>
            <w:webHidden/>
          </w:rPr>
          <w:instrText>PAGEREF _Toc84967206 \h</w:instrText>
        </w:r>
        <w:r>
          <w:rPr>
            <w:webHidden/>
          </w:rPr>
          <w:fldChar w:fldCharType="separate"/>
        </w:r>
        <w:r>
          <w:rPr>
            <w:rStyle w:val="Style21"/>
            <w:rFonts w:cs="Times New Roman" w:ascii="Times New Roman" w:hAnsi="Times New Roman"/>
            <w:vanish w:val="false"/>
          </w:rPr>
          <w:tab/>
          <w:t>38</w:t>
        </w:r>
        <w:r>
          <w:rPr>
            <w:webHidden/>
          </w:rPr>
          <w:fldChar w:fldCharType="end"/>
        </w:r>
      </w:hyperlink>
    </w:p>
    <w:p>
      <w:pPr>
        <w:pStyle w:val="Tableoffigures"/>
        <w:rPr>
          <w:rFonts w:ascii="Times New Roman" w:hAnsi="Times New Roman" w:eastAsia="" w:cs="Times New Roman" w:eastAsiaTheme="minorEastAsia"/>
          <w:lang w:eastAsia="uk-UA"/>
        </w:rPr>
      </w:pPr>
      <w:hyperlink w:anchor="_Toc84967207">
        <w:r>
          <w:rPr>
            <w:webHidden/>
            <w:rStyle w:val="Style21"/>
            <w:rFonts w:ascii="Times New Roman" w:hAnsi="Times New Roman"/>
            <w:vanish w:val="false"/>
          </w:rPr>
          <w:t>Таблиця 6.</w:t>
        </w:r>
        <w:r>
          <w:rPr>
            <w:rStyle w:val="Style21"/>
            <w:rFonts w:eastAsia="" w:cs="Times New Roman" w:ascii="Times New Roman" w:hAnsi="Times New Roman" w:eastAsiaTheme="minorEastAsia"/>
            <w:lang w:eastAsia="uk-UA"/>
          </w:rPr>
          <w:tab/>
        </w:r>
        <w:r>
          <w:rPr>
            <w:rStyle w:val="Style21"/>
            <w:rFonts w:ascii="Times New Roman" w:hAnsi="Times New Roman"/>
          </w:rPr>
          <w:t xml:space="preserve">Індикатори впливу та результату Стратегічної цілі </w:t>
        </w:r>
        <w:r>
          <w:rPr>
            <w:rStyle w:val="Style21"/>
            <w:rFonts w:ascii="Times New Roman" w:hAnsi="Times New Roman"/>
            <w:lang w:val="ru-RU"/>
          </w:rPr>
          <w:t>1</w:t>
        </w:r>
        <w:r>
          <w:rPr>
            <w:webHidden/>
          </w:rPr>
          <w:fldChar w:fldCharType="begin"/>
        </w:r>
        <w:r>
          <w:rPr>
            <w:webHidden/>
          </w:rPr>
          <w:instrText>PAGEREF _Toc84967207 \h</w:instrText>
        </w:r>
        <w:r>
          <w:rPr>
            <w:webHidden/>
          </w:rPr>
          <w:fldChar w:fldCharType="separate"/>
        </w:r>
        <w:r>
          <w:rPr>
            <w:rStyle w:val="Style21"/>
            <w:rFonts w:cs="Times New Roman" w:ascii="Times New Roman" w:hAnsi="Times New Roman"/>
            <w:vanish w:val="false"/>
          </w:rPr>
          <w:tab/>
          <w:t>49</w:t>
        </w:r>
        <w:r>
          <w:rPr>
            <w:webHidden/>
          </w:rPr>
          <w:fldChar w:fldCharType="end"/>
        </w:r>
      </w:hyperlink>
    </w:p>
    <w:p>
      <w:pPr>
        <w:pStyle w:val="Tableoffigures"/>
        <w:rPr>
          <w:rFonts w:ascii="Times New Roman" w:hAnsi="Times New Roman" w:eastAsia="" w:cs="Times New Roman" w:eastAsiaTheme="minorEastAsia"/>
          <w:lang w:eastAsia="uk-UA"/>
        </w:rPr>
      </w:pPr>
      <w:hyperlink w:anchor="_Toc84967208">
        <w:r>
          <w:rPr>
            <w:webHidden/>
            <w:rStyle w:val="Style21"/>
            <w:rFonts w:ascii="Times New Roman" w:hAnsi="Times New Roman"/>
            <w:vanish w:val="false"/>
          </w:rPr>
          <w:t>Таблиця 7.</w:t>
        </w:r>
        <w:r>
          <w:rPr>
            <w:rStyle w:val="Style21"/>
            <w:rFonts w:eastAsia="" w:cs="Times New Roman" w:ascii="Times New Roman" w:hAnsi="Times New Roman" w:eastAsiaTheme="minorEastAsia"/>
            <w:lang w:eastAsia="uk-UA"/>
          </w:rPr>
          <w:tab/>
        </w:r>
        <w:r>
          <w:rPr>
            <w:rStyle w:val="Style21"/>
            <w:rFonts w:ascii="Times New Roman" w:hAnsi="Times New Roman"/>
          </w:rPr>
          <w:t xml:space="preserve">Індикатори впливу та результату Стратегічної цілі </w:t>
        </w:r>
        <w:r>
          <w:rPr>
            <w:rStyle w:val="Style21"/>
            <w:rFonts w:ascii="Times New Roman" w:hAnsi="Times New Roman"/>
            <w:lang w:val="ru-RU"/>
          </w:rPr>
          <w:t>2</w:t>
        </w:r>
        <w:r>
          <w:rPr>
            <w:webHidden/>
          </w:rPr>
          <w:fldChar w:fldCharType="begin"/>
        </w:r>
        <w:r>
          <w:rPr>
            <w:webHidden/>
          </w:rPr>
          <w:instrText>PAGEREF _Toc84967208 \h</w:instrText>
        </w:r>
        <w:r>
          <w:rPr>
            <w:webHidden/>
          </w:rPr>
          <w:fldChar w:fldCharType="separate"/>
        </w:r>
        <w:r>
          <w:rPr>
            <w:rStyle w:val="Style21"/>
            <w:rFonts w:cs="Times New Roman" w:ascii="Times New Roman" w:hAnsi="Times New Roman"/>
            <w:vanish w:val="false"/>
          </w:rPr>
          <w:tab/>
          <w:t>49</w:t>
        </w:r>
        <w:r>
          <w:rPr>
            <w:webHidden/>
          </w:rPr>
          <w:fldChar w:fldCharType="end"/>
        </w:r>
      </w:hyperlink>
    </w:p>
    <w:p>
      <w:pPr>
        <w:pStyle w:val="Tableoffigures"/>
        <w:rPr>
          <w:rFonts w:ascii="Times New Roman" w:hAnsi="Times New Roman" w:eastAsia="" w:cs="Times New Roman" w:eastAsiaTheme="minorEastAsia"/>
          <w:lang w:eastAsia="uk-UA"/>
        </w:rPr>
      </w:pPr>
      <w:hyperlink w:anchor="_Toc84967209">
        <w:r>
          <w:rPr>
            <w:webHidden/>
            <w:rStyle w:val="Style21"/>
            <w:rFonts w:ascii="Times New Roman" w:hAnsi="Times New Roman"/>
            <w:vanish w:val="false"/>
          </w:rPr>
          <w:t>Таблиця 8.</w:t>
        </w:r>
        <w:r>
          <w:rPr>
            <w:rStyle w:val="Style21"/>
            <w:rFonts w:eastAsia="" w:cs="Times New Roman" w:ascii="Times New Roman" w:hAnsi="Times New Roman" w:eastAsiaTheme="minorEastAsia"/>
            <w:lang w:eastAsia="uk-UA"/>
          </w:rPr>
          <w:tab/>
        </w:r>
        <w:r>
          <w:rPr>
            <w:rStyle w:val="Style21"/>
            <w:rFonts w:ascii="Times New Roman" w:hAnsi="Times New Roman"/>
          </w:rPr>
          <w:t xml:space="preserve">Індикатори впливу та результату Стратегічної цілі </w:t>
        </w:r>
        <w:r>
          <w:rPr>
            <w:rStyle w:val="Style21"/>
            <w:rFonts w:ascii="Times New Roman" w:hAnsi="Times New Roman"/>
            <w:lang w:val="ru-RU"/>
          </w:rPr>
          <w:t>3</w:t>
        </w:r>
        <w:r>
          <w:rPr>
            <w:webHidden/>
          </w:rPr>
          <w:fldChar w:fldCharType="begin"/>
        </w:r>
        <w:r>
          <w:rPr>
            <w:webHidden/>
          </w:rPr>
          <w:instrText>PAGEREF _Toc84967209 \h</w:instrText>
        </w:r>
        <w:r>
          <w:rPr>
            <w:webHidden/>
          </w:rPr>
          <w:fldChar w:fldCharType="separate"/>
        </w:r>
        <w:r>
          <w:rPr>
            <w:rStyle w:val="Style21"/>
            <w:rFonts w:cs="Times New Roman" w:ascii="Times New Roman" w:hAnsi="Times New Roman"/>
            <w:vanish w:val="false"/>
          </w:rPr>
          <w:tab/>
          <w:t>50</w:t>
        </w:r>
        <w:r>
          <w:rPr>
            <w:webHidden/>
          </w:rPr>
          <w:fldChar w:fldCharType="end"/>
        </w:r>
      </w:hyperlink>
    </w:p>
    <w:p>
      <w:pPr>
        <w:pStyle w:val="Normal"/>
        <w:tabs>
          <w:tab w:val="left" w:pos="9923" w:leader="none"/>
        </w:tabs>
        <w:spacing w:lineRule="auto" w:line="240" w:before="0" w:after="0"/>
        <w:rPr>
          <w:rFonts w:ascii="Times New Roman" w:hAnsi="Times New Roman" w:cs="Times New Roman"/>
          <w:sz w:val="20"/>
          <w:szCs w:val="20"/>
        </w:rPr>
      </w:pPr>
      <w:r>
        <w:rPr>
          <w:rFonts w:cs="Times New Roman" w:ascii="Times New Roman" w:hAnsi="Times New Roman"/>
          <w:sz w:val="20"/>
          <w:szCs w:val="20"/>
        </w:rPr>
      </w:r>
      <w:r>
        <w:fldChar w:fldCharType="end"/>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1"/>
        <w:pageBreakBefore w:val="false"/>
        <w:spacing w:lineRule="auto" w:line="240" w:before="0" w:after="0"/>
        <w:rPr>
          <w:rFonts w:ascii="Times New Roman" w:hAnsi="Times New Roman" w:cs="Times New Roman"/>
          <w:sz w:val="26"/>
          <w:szCs w:val="26"/>
        </w:rPr>
      </w:pPr>
      <w:bookmarkStart w:id="6" w:name="_Toc84967165"/>
      <w:bookmarkStart w:id="7" w:name="_Toc291842805"/>
      <w:bookmarkStart w:id="8" w:name="_Toc436423057"/>
      <w:r>
        <w:rPr>
          <w:rFonts w:cs="Times New Roman" w:ascii="Times New Roman" w:hAnsi="Times New Roman"/>
          <w:sz w:val="26"/>
          <w:szCs w:val="26"/>
        </w:rPr>
        <w:t>Вітальне</w:t>
      </w:r>
      <w:bookmarkEnd w:id="6"/>
      <w:bookmarkEnd w:id="7"/>
      <w:bookmarkEnd w:id="8"/>
      <w:r>
        <w:rPr>
          <w:rFonts w:cs="Times New Roman" w:ascii="Times New Roman" w:hAnsi="Times New Roman"/>
          <w:sz w:val="26"/>
          <w:szCs w:val="26"/>
        </w:rPr>
        <w:t xml:space="preserve"> слово міського голови</w:t>
      </w:r>
    </w:p>
    <w:p>
      <w:pPr>
        <w:pStyle w:val="Normal"/>
        <w:spacing w:lineRule="auto" w:line="240" w:before="0" w:after="0"/>
        <w:rPr>
          <w:rFonts w:ascii="Times New Roman" w:hAnsi="Times New Roman" w:cs="Times New Roman"/>
          <w:sz w:val="24"/>
          <w:szCs w:val="24"/>
          <w:highlight w:val="yellow"/>
        </w:rPr>
      </w:pPr>
      <w:r>
        <w:rPr>
          <w:rFonts w:cs="Times New Roman" w:ascii="Times New Roman" w:hAnsi="Times New Roman"/>
          <w:sz w:val="24"/>
          <w:szCs w:val="24"/>
          <w:highlight w:val="yellow"/>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Дорогі земляки!</w:t>
      </w:r>
    </w:p>
    <w:p>
      <w:pPr>
        <w:pStyle w:val="Normal"/>
        <w:spacing w:lineRule="auto" w:line="240" w:before="0" w:after="0"/>
        <w:jc w:val="center"/>
        <w:rPr>
          <w:rFonts w:ascii="Times New Roman" w:hAnsi="Times New Roman" w:cs="Times New Roman"/>
          <w:sz w:val="24"/>
          <w:szCs w:val="24"/>
          <w:highlight w:val="yellow"/>
        </w:rPr>
      </w:pPr>
      <w:r>
        <w:rPr>
          <w:rFonts w:cs="Times New Roman" w:ascii="Times New Roman" w:hAnsi="Times New Roman"/>
          <w:sz w:val="24"/>
          <w:szCs w:val="24"/>
          <w:highlight w:val="yellow"/>
        </w:rPr>
      </w:r>
    </w:p>
    <w:p>
      <w:pPr>
        <w:pStyle w:val="Normal"/>
        <w:spacing w:lineRule="auto" w:line="240"/>
        <w:ind w:firstLine="709"/>
        <w:jc w:val="both"/>
        <w:rPr>
          <w:rFonts w:ascii="Times New Roman" w:hAnsi="Times New Roman" w:cs="Times New Roman"/>
          <w:sz w:val="24"/>
          <w:szCs w:val="24"/>
          <w:highlight w:val="yellow"/>
        </w:rPr>
      </w:pPr>
      <w:r>
        <w:rPr>
          <w:rFonts w:cs="Times New Roman" w:ascii="Times New Roman" w:hAnsi="Times New Roman"/>
          <w:sz w:val="24"/>
          <w:szCs w:val="24"/>
          <w:highlight w:val="yellow"/>
        </w:rPr>
      </w:r>
    </w:p>
    <w:p>
      <w:pPr>
        <w:pStyle w:val="Normal"/>
        <w:spacing w:lineRule="auto" w:line="240"/>
        <w:ind w:firstLine="709"/>
        <w:jc w:val="both"/>
        <w:rPr>
          <w:rFonts w:ascii="Times New Roman" w:hAnsi="Times New Roman" w:cs="Times New Roman"/>
          <w:sz w:val="24"/>
          <w:szCs w:val="24"/>
          <w:highlight w:val="yellow"/>
        </w:rPr>
      </w:pPr>
      <w:r>
        <w:rPr>
          <w:rFonts w:cs="Times New Roman" w:ascii="Times New Roman" w:hAnsi="Times New Roman"/>
          <w:sz w:val="24"/>
          <w:szCs w:val="24"/>
          <w:highlight w:val="yellow"/>
        </w:rPr>
      </w:r>
    </w:p>
    <w:p>
      <w:pPr>
        <w:pStyle w:val="Normal"/>
        <w:spacing w:lineRule="auto" w:line="240"/>
        <w:ind w:firstLine="709"/>
        <w:jc w:val="both"/>
        <w:rPr>
          <w:rFonts w:ascii="Times New Roman" w:hAnsi="Times New Roman" w:cs="Times New Roman"/>
          <w:sz w:val="24"/>
          <w:szCs w:val="24"/>
          <w:highlight w:val="yellow"/>
        </w:rPr>
      </w:pPr>
      <w:r>
        <w:rPr>
          <w:rFonts w:cs="Times New Roman" w:ascii="Times New Roman" w:hAnsi="Times New Roman"/>
          <w:sz w:val="24"/>
          <w:szCs w:val="24"/>
          <w:highlight w:val="yellow"/>
        </w:rPr>
      </w:r>
    </w:p>
    <w:p>
      <w:pPr>
        <w:pStyle w:val="Normal"/>
        <w:spacing w:lineRule="auto" w:line="240"/>
        <w:ind w:firstLine="709"/>
        <w:jc w:val="both"/>
        <w:rPr>
          <w:rFonts w:ascii="Times New Roman" w:hAnsi="Times New Roman" w:cs="Times New Roman"/>
          <w:sz w:val="24"/>
          <w:szCs w:val="24"/>
          <w:highlight w:val="yellow"/>
        </w:rPr>
      </w:pPr>
      <w:r>
        <w:rPr>
          <w:rFonts w:cs="Times New Roman" w:ascii="Times New Roman" w:hAnsi="Times New Roman"/>
          <w:sz w:val="24"/>
          <w:szCs w:val="24"/>
          <w:highlight w:val="yellow"/>
        </w:rPr>
      </w:r>
    </w:p>
    <w:p>
      <w:pPr>
        <w:pStyle w:val="Normal"/>
        <w:spacing w:lineRule="auto" w:line="24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ind w:firstLine="709"/>
        <w:jc w:val="both"/>
        <w:rPr/>
      </w:pPr>
      <w:r>
        <w:rPr>
          <w:rFonts w:cs="Times New Roman" w:ascii="Times New Roman" w:hAnsi="Times New Roman"/>
          <w:sz w:val="24"/>
          <w:szCs w:val="24"/>
        </w:rPr>
        <w:t>Каховський міський голова</w:t>
        <w:tab/>
        <w:tab/>
        <w:tab/>
        <w:tab/>
        <w:tab/>
        <w:t>Віталій Немерець</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                 </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Стратегія розвитку Каховської територіальної громади розроблена за підтримки Програми «U-LEAD з Європою», що спільно фінансується ЄС та його державами-членами Німеччиною, Польщею, Швецією, Данією, Естонією та Словенією для підтримки України на її шляху до зміцнення місцевого самоврядування. U-LEAD сприяє прозорому, підзвітному та багаторівневому управлінню в Україні, яке відповідає на потреби громадян, та розширює можливості громад.</w:t>
      </w:r>
    </w:p>
    <w:p>
      <w:pPr>
        <w:pStyle w:val="Normal"/>
        <w:spacing w:lineRule="auto" w:line="259" w:before="0" w:after="160"/>
        <w:rPr>
          <w:rFonts w:ascii="Times New Roman" w:hAnsi="Times New Roman" w:cs="Times New Roman"/>
          <w:sz w:val="24"/>
          <w:szCs w:val="24"/>
        </w:rPr>
      </w:pPr>
      <w:r>
        <w:rPr>
          <w:rFonts w:cs="Times New Roman" w:ascii="Times New Roman" w:hAnsi="Times New Roman"/>
          <w:sz w:val="24"/>
          <w:szCs w:val="24"/>
        </w:rPr>
      </w:r>
    </w:p>
    <w:p>
      <w:pPr>
        <w:pStyle w:val="1"/>
        <w:pageBreakBefore w:val="false"/>
        <w:tabs>
          <w:tab w:val="left" w:pos="284" w:leader="none"/>
          <w:tab w:val="left" w:pos="567" w:leader="none"/>
        </w:tabs>
        <w:spacing w:lineRule="auto" w:line="240" w:before="0" w:after="0"/>
        <w:rPr>
          <w:rFonts w:ascii="Times New Roman" w:hAnsi="Times New Roman" w:cs="Times New Roman"/>
          <w:sz w:val="26"/>
          <w:szCs w:val="26"/>
        </w:rPr>
      </w:pPr>
      <w:bookmarkStart w:id="9" w:name="_Toc84967166"/>
      <w:bookmarkEnd w:id="9"/>
      <w:r>
        <w:rPr>
          <w:rFonts w:cs="Times New Roman" w:ascii="Times New Roman" w:hAnsi="Times New Roman"/>
          <w:sz w:val="26"/>
          <w:szCs w:val="26"/>
        </w:rPr>
        <w:t>ВСТУП</w:t>
      </w:r>
    </w:p>
    <w:p>
      <w:pPr>
        <w:pStyle w:val="Normal"/>
        <w:spacing w:lineRule="auto" w:line="240" w:before="120" w:after="0"/>
        <w:ind w:firstLine="709"/>
        <w:jc w:val="both"/>
        <w:rPr>
          <w:rFonts w:ascii="Times New Roman" w:hAnsi="Times New Roman" w:cs="Times New Roman"/>
          <w:sz w:val="24"/>
          <w:szCs w:val="24"/>
        </w:rPr>
      </w:pPr>
      <w:r>
        <w:rPr>
          <w:rFonts w:cs="Times New Roman" w:ascii="Times New Roman" w:hAnsi="Times New Roman"/>
          <w:sz w:val="24"/>
          <w:szCs w:val="24"/>
        </w:rPr>
        <w:t xml:space="preserve">У результаті адміністративно-територіальної реформи в Україні створені нові територіальні громади (далі ТГ), які мають стати спроможним базовим елементом ефективної системи влади. Подібно до більшості громад, у перший рік після створення Каховська громада зустрілася з багатьма викликами, серед яких: </w:t>
      </w:r>
    </w:p>
    <w:p>
      <w:pPr>
        <w:pStyle w:val="Normal"/>
        <w:numPr>
          <w:ilvl w:val="0"/>
          <w:numId w:val="1"/>
        </w:numPr>
        <w:spacing w:lineRule="auto" w:line="240" w:before="0" w:after="0"/>
        <w:ind w:left="426" w:hanging="284"/>
        <w:jc w:val="both"/>
        <w:rPr>
          <w:rFonts w:ascii="Times New Roman" w:hAnsi="Times New Roman" w:cs="Times New Roman"/>
          <w:sz w:val="24"/>
          <w:szCs w:val="24"/>
        </w:rPr>
      </w:pPr>
      <w:r>
        <w:rPr>
          <w:rFonts w:cs="Times New Roman" w:ascii="Times New Roman" w:hAnsi="Times New Roman"/>
          <w:sz w:val="24"/>
          <w:szCs w:val="24"/>
        </w:rPr>
        <w:t>дисбаланс у розвитку різних частин об’єднаної громади;</w:t>
      </w:r>
    </w:p>
    <w:p>
      <w:pPr>
        <w:pStyle w:val="Normal"/>
        <w:numPr>
          <w:ilvl w:val="0"/>
          <w:numId w:val="1"/>
        </w:numPr>
        <w:spacing w:lineRule="auto" w:line="240" w:before="0" w:after="0"/>
        <w:ind w:left="426" w:hanging="284"/>
        <w:jc w:val="both"/>
        <w:rPr>
          <w:rFonts w:ascii="Times New Roman" w:hAnsi="Times New Roman" w:cs="Times New Roman"/>
          <w:sz w:val="24"/>
          <w:szCs w:val="24"/>
        </w:rPr>
      </w:pPr>
      <w:r>
        <w:rPr>
          <w:rFonts w:cs="Times New Roman" w:ascii="Times New Roman" w:hAnsi="Times New Roman"/>
          <w:sz w:val="24"/>
          <w:szCs w:val="24"/>
        </w:rPr>
        <w:t>відсутність практики надання базових послуг мешканцям у кожного з органів місцевого самоврядування, які увійшли до складу ТГ. До об'єднання міська і сільські ради мали незрівнянно менші повноваження і ресурси щодо надання послуг громадянам. Очевидно, що мають бути вироблені нові підходи до управління «об‘єднаними» ресурсами та реалізації нових повноважень;</w:t>
      </w:r>
    </w:p>
    <w:p>
      <w:pPr>
        <w:pStyle w:val="Normal"/>
        <w:numPr>
          <w:ilvl w:val="0"/>
          <w:numId w:val="1"/>
        </w:numPr>
        <w:spacing w:lineRule="auto" w:line="240" w:before="0" w:after="0"/>
        <w:ind w:left="426" w:hanging="284"/>
        <w:jc w:val="both"/>
        <w:rPr>
          <w:rFonts w:ascii="Times New Roman" w:hAnsi="Times New Roman" w:cs="Times New Roman"/>
          <w:sz w:val="24"/>
          <w:szCs w:val="24"/>
        </w:rPr>
      </w:pPr>
      <w:r>
        <w:rPr>
          <w:rFonts w:cs="Times New Roman" w:ascii="Times New Roman" w:hAnsi="Times New Roman"/>
          <w:sz w:val="24"/>
          <w:szCs w:val="24"/>
        </w:rPr>
        <w:t>потреба забезпечення розвитку громади за рахунок ефективного управління новими ресурсами, перш за все, земельними та фінансовими;</w:t>
      </w:r>
    </w:p>
    <w:p>
      <w:pPr>
        <w:pStyle w:val="Normal"/>
        <w:numPr>
          <w:ilvl w:val="0"/>
          <w:numId w:val="1"/>
        </w:numPr>
        <w:spacing w:lineRule="auto" w:line="240" w:before="0" w:after="0"/>
        <w:ind w:left="426" w:hanging="284"/>
        <w:jc w:val="both"/>
        <w:rPr>
          <w:rFonts w:ascii="Times New Roman" w:hAnsi="Times New Roman" w:cs="Times New Roman"/>
          <w:sz w:val="24"/>
          <w:szCs w:val="24"/>
        </w:rPr>
      </w:pPr>
      <w:r>
        <w:rPr>
          <w:rFonts w:cs="Times New Roman" w:ascii="Times New Roman" w:hAnsi="Times New Roman"/>
          <w:sz w:val="24"/>
          <w:szCs w:val="24"/>
        </w:rPr>
        <w:t xml:space="preserve">необхідність врахування інтересів більшої кількості зацікавлених сторін у процесі прийняття рішень органами влади територіальної громади. </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Поряд з цим існує ширший контекст викликів, за якого Каховська громада має ефективно реагувати на зовнішні тенденції, такі як зростання конкуренції за людські ресурси, глобалізація світової економіки, посилення міжнародної конкуренції за інвестиції та розвиткові ресурси, підвищення мобільності трудових ресурсів та пов‘язаний з цим брак кваліфікованої робочої сили тощо.</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Адекватною відповіддю на ці та деякі інші виклики є перспективне (середньо- та довгострокове) планування. У цьому контексті важливим є не тільки (і не стільки) результат (планувальний документ), скільки сам процес його створення за участі широкого кола зацікавлених сторін – представників усіх населених пунктів, підприємств, установ та організацій.</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У ході дискусій, що відбувалися під час планувальних заходів Каховської громади,  серед іншого, враховувались такі аргументи:</w:t>
      </w:r>
    </w:p>
    <w:p>
      <w:pPr>
        <w:pStyle w:val="Normal"/>
        <w:numPr>
          <w:ilvl w:val="0"/>
          <w:numId w:val="1"/>
        </w:numPr>
        <w:spacing w:lineRule="auto" w:line="240" w:before="0" w:after="0"/>
        <w:ind w:left="426" w:hanging="284"/>
        <w:jc w:val="both"/>
        <w:rPr>
          <w:rFonts w:ascii="Times New Roman" w:hAnsi="Times New Roman" w:cs="Times New Roman"/>
          <w:sz w:val="24"/>
          <w:szCs w:val="24"/>
        </w:rPr>
      </w:pPr>
      <w:r>
        <w:rPr>
          <w:rFonts w:cs="Times New Roman" w:ascii="Times New Roman" w:hAnsi="Times New Roman"/>
          <w:sz w:val="24"/>
          <w:szCs w:val="24"/>
        </w:rPr>
        <w:t>фактор новоствореної громади, у якої немає спільної соціально-економічної «історії», відбувається процес становлення базових умов;</w:t>
      </w:r>
    </w:p>
    <w:p>
      <w:pPr>
        <w:pStyle w:val="Normal"/>
        <w:numPr>
          <w:ilvl w:val="0"/>
          <w:numId w:val="1"/>
        </w:numPr>
        <w:spacing w:lineRule="auto" w:line="240" w:before="0" w:after="0"/>
        <w:ind w:left="426" w:hanging="284"/>
        <w:jc w:val="both"/>
        <w:rPr>
          <w:rFonts w:ascii="Times New Roman" w:hAnsi="Times New Roman" w:cs="Times New Roman"/>
          <w:sz w:val="24"/>
          <w:szCs w:val="24"/>
        </w:rPr>
      </w:pPr>
      <w:r>
        <w:rPr>
          <w:rFonts w:cs="Times New Roman" w:ascii="Times New Roman" w:hAnsi="Times New Roman"/>
          <w:sz w:val="24"/>
          <w:szCs w:val="24"/>
        </w:rPr>
        <w:t>об’єднавче та мотивуюче значення прогнозно-програмного документу для усіх суб’єктів ТГ,</w:t>
      </w:r>
    </w:p>
    <w:p>
      <w:pPr>
        <w:pStyle w:val="Normal"/>
        <w:numPr>
          <w:ilvl w:val="0"/>
          <w:numId w:val="1"/>
        </w:numPr>
        <w:spacing w:lineRule="auto" w:line="240" w:before="0" w:after="0"/>
        <w:ind w:left="426" w:hanging="284"/>
        <w:jc w:val="both"/>
        <w:rPr>
          <w:rFonts w:ascii="Times New Roman" w:hAnsi="Times New Roman" w:cs="Times New Roman"/>
          <w:sz w:val="24"/>
          <w:szCs w:val="24"/>
        </w:rPr>
      </w:pPr>
      <w:r>
        <w:rPr>
          <w:rFonts w:cs="Times New Roman" w:ascii="Times New Roman" w:hAnsi="Times New Roman"/>
          <w:sz w:val="24"/>
          <w:szCs w:val="24"/>
        </w:rPr>
        <w:t>стратегії вищого рівня (Херсонської області, України) розроблені на період до 2027 року.</w:t>
      </w:r>
    </w:p>
    <w:p>
      <w:pPr>
        <w:pStyle w:val="Normal"/>
        <w:spacing w:lineRule="auto" w:line="240" w:before="0" w:after="0"/>
        <w:ind w:left="142" w:firstLine="566"/>
        <w:jc w:val="both"/>
        <w:rPr>
          <w:rFonts w:ascii="Times New Roman" w:hAnsi="Times New Roman" w:cs="Times New Roman"/>
          <w:sz w:val="24"/>
          <w:szCs w:val="24"/>
        </w:rPr>
      </w:pPr>
      <w:r>
        <w:rPr>
          <w:rFonts w:cs="Times New Roman" w:ascii="Times New Roman" w:hAnsi="Times New Roman"/>
          <w:sz w:val="24"/>
          <w:szCs w:val="24"/>
        </w:rPr>
        <w:t>Враховуючи зазначене, а також те, що громада успішно розпочала процес становлення, розроблено Стратегію розвитку Каховської громади на 2022-20</w:t>
      </w:r>
      <w:r>
        <w:rPr>
          <w:rFonts w:cs="Times New Roman" w:ascii="Times New Roman" w:hAnsi="Times New Roman"/>
          <w:color w:val="1A1A1A" w:themeColor="background1" w:themeShade="1a"/>
          <w:sz w:val="24"/>
          <w:szCs w:val="24"/>
        </w:rPr>
        <w:t>27 роки</w:t>
      </w:r>
      <w:r>
        <w:rPr>
          <w:rFonts w:cs="Times New Roman" w:ascii="Times New Roman" w:hAnsi="Times New Roman"/>
          <w:sz w:val="24"/>
          <w:szCs w:val="24"/>
        </w:rPr>
        <w:t>. При цьому перші три роки розглядаються як період створення умов для сталого розвитку, коли будуть сформовані базові умови функціонування, а надалі можна буде розробити більш довгостроковий стратегічний план розвитку громади.</w:t>
      </w:r>
    </w:p>
    <w:p>
      <w:pPr>
        <w:pStyle w:val="Normal"/>
        <w:spacing w:lineRule="auto" w:line="240" w:before="0" w:after="0"/>
        <w:ind w:left="142" w:firstLine="566"/>
        <w:jc w:val="both"/>
        <w:rPr>
          <w:rFonts w:ascii="Times New Roman" w:hAnsi="Times New Roman" w:cs="Times New Roman"/>
          <w:sz w:val="24"/>
          <w:szCs w:val="24"/>
        </w:rPr>
      </w:pPr>
      <w:r>
        <w:rPr>
          <w:rFonts w:cs="Times New Roman" w:ascii="Times New Roman" w:hAnsi="Times New Roman"/>
          <w:sz w:val="24"/>
          <w:szCs w:val="24"/>
        </w:rPr>
        <w:t>Стратегія є основним документом, який визначає напрям розвитку та ґрунтується на інших документах стратегічного характеру, у тому числі, з просторового планування, враховує планувальні документи, які вже прийняті і впроваджуються міською радою. На виконання Стратегії розробляються середньострокові плани економічного і соціального розвитку громади, синхронізовані з ними фінансові документи, галузеві цільові програми.</w:t>
      </w:r>
    </w:p>
    <w:p>
      <w:pPr>
        <w:pStyle w:val="Normal"/>
        <w:spacing w:lineRule="auto" w:line="240" w:before="0" w:after="0"/>
        <w:ind w:left="142" w:firstLine="56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left="142" w:firstLine="566"/>
        <w:jc w:val="both"/>
        <w:rPr>
          <w:rFonts w:ascii="Times New Roman" w:hAnsi="Times New Roman" w:cs="Times New Roman"/>
          <w:sz w:val="24"/>
          <w:szCs w:val="24"/>
        </w:rPr>
      </w:pPr>
      <w:r>
        <w:rPr>
          <w:rFonts w:cs="Times New Roman" w:ascii="Times New Roman" w:hAnsi="Times New Roman"/>
          <w:b/>
          <w:bCs/>
          <w:sz w:val="26"/>
          <w:szCs w:val="26"/>
        </w:rPr>
        <w:t>Методологія та опис процесу роботи</w:t>
      </w:r>
      <w:r>
        <w:rPr>
          <w:rFonts w:cs="Times New Roman" w:ascii="Times New Roman" w:hAnsi="Times New Roman"/>
          <w:b/>
          <w:bCs/>
          <w:sz w:val="24"/>
          <w:szCs w:val="24"/>
        </w:rPr>
        <w:t xml:space="preserve"> </w:t>
      </w:r>
    </w:p>
    <w:p>
      <w:pPr>
        <w:pStyle w:val="Rvps2"/>
        <w:shd w:val="clear" w:color="auto" w:fill="FFFFFF"/>
        <w:spacing w:beforeAutospacing="0" w:before="120" w:afterAutospacing="0" w:after="0"/>
        <w:ind w:firstLine="709"/>
        <w:jc w:val="both"/>
        <w:textAlignment w:val="baseline"/>
        <w:rPr/>
      </w:pPr>
      <w:r>
        <w:rPr>
          <w:lang w:val="uk-UA"/>
        </w:rPr>
        <w:t xml:space="preserve">Підготовка Стратегії здійснювалася у відповідності до методології, запропонованої </w:t>
      </w:r>
      <w:r>
        <w:rPr>
          <w:bCs/>
          <w:lang w:val="uk-UA"/>
        </w:rPr>
        <w:t xml:space="preserve">Міністерством розвитку громад та територій України. </w:t>
      </w:r>
      <w:r>
        <w:rPr>
          <w:lang w:val="uk-UA"/>
        </w:rPr>
        <w:t xml:space="preserve">Методологія розглядає такі основні принципи розробки </w:t>
      </w:r>
      <w:bookmarkStart w:id="10" w:name="_Hlk531688380"/>
      <w:r>
        <w:rPr>
          <w:lang w:val="uk-UA"/>
        </w:rPr>
        <w:t xml:space="preserve">стратегічних та програмних документів </w:t>
      </w:r>
      <w:bookmarkEnd w:id="10"/>
      <w:r>
        <w:rPr>
          <w:lang w:val="uk-UA"/>
        </w:rPr>
        <w:t>місцевого розвитку:</w:t>
      </w:r>
    </w:p>
    <w:p>
      <w:pPr>
        <w:pStyle w:val="Rvps2"/>
        <w:shd w:val="clear" w:color="auto" w:fill="FFFFFF"/>
        <w:spacing w:beforeAutospacing="0" w:before="0" w:afterAutospacing="0" w:after="0"/>
        <w:ind w:firstLine="709"/>
        <w:jc w:val="both"/>
        <w:textAlignment w:val="baseline"/>
        <w:rPr>
          <w:lang w:val="uk-UA"/>
        </w:rPr>
      </w:pPr>
      <w:r>
        <w:rPr>
          <w:lang w:val="uk-UA"/>
        </w:rPr>
        <w:t xml:space="preserve">об’єктивність – розроблення документів на основі даних органів державної статистики, інших центральних і місцевих органів виконавчої влади, результатів опитувань громадської думки, з урахуванням реальних цілей та індикаторів (показників), яких можливо досягти та оцінити; </w:t>
      </w:r>
    </w:p>
    <w:p>
      <w:pPr>
        <w:pStyle w:val="Rvps2"/>
        <w:shd w:val="clear" w:color="auto" w:fill="FFFFFF"/>
        <w:spacing w:beforeAutospacing="0" w:before="0" w:afterAutospacing="0" w:after="0"/>
        <w:ind w:firstLine="709"/>
        <w:jc w:val="both"/>
        <w:textAlignment w:val="baseline"/>
        <w:rPr>
          <w:lang w:val="uk-UA"/>
        </w:rPr>
      </w:pPr>
      <w:r>
        <w:rPr>
          <w:lang w:val="uk-UA"/>
        </w:rPr>
        <w:t>обґрунтованість та доцільність – розроблення документів на основі чітко визначених цілей розвитку та економічно обґрунтованих заходів та проектів, що сприяють їх досягненню із використанням кращого світового досвіду у сфері прогнозування економічного і соціального розвитку;</w:t>
      </w:r>
    </w:p>
    <w:p>
      <w:pPr>
        <w:pStyle w:val="Rvps2"/>
        <w:shd w:val="clear" w:color="auto" w:fill="FFFFFF"/>
        <w:spacing w:beforeAutospacing="0" w:before="0" w:afterAutospacing="0" w:after="0"/>
        <w:ind w:firstLine="709"/>
        <w:jc w:val="both"/>
        <w:textAlignment w:val="baseline"/>
        <w:rPr>
          <w:lang w:val="uk-UA"/>
        </w:rPr>
      </w:pPr>
      <w:r>
        <w:rPr>
          <w:lang w:val="uk-UA"/>
        </w:rPr>
        <w:t>координація – взаємозв’язок та узгодженість довгострокових стратегій, планів і програм розвитку на державному, регіональному та місцевому рівнях;</w:t>
      </w:r>
    </w:p>
    <w:p>
      <w:pPr>
        <w:pStyle w:val="Rvps2"/>
        <w:shd w:val="clear" w:color="auto" w:fill="FFFFFF"/>
        <w:spacing w:beforeAutospacing="0" w:before="0" w:afterAutospacing="0" w:after="0"/>
        <w:ind w:firstLine="709"/>
        <w:jc w:val="both"/>
        <w:textAlignment w:val="baseline"/>
        <w:rPr>
          <w:lang w:val="uk-UA"/>
        </w:rPr>
      </w:pPr>
      <w:r>
        <w:rPr>
          <w:lang w:val="uk-UA"/>
        </w:rPr>
        <w:t xml:space="preserve">відкритість та прозорість – забезпечення доступу громадськості, що передбачає інформування про цілі, завдання, очікувані результати та показники виконання стратегічних </w:t>
      </w:r>
      <w:r>
        <w:rPr>
          <w:rFonts w:eastAsia="Calibri"/>
          <w:lang w:val="uk-UA" w:eastAsia="en-US"/>
        </w:rPr>
        <w:t>та програмних</w:t>
      </w:r>
      <w:r>
        <w:rPr>
          <w:lang w:val="uk-UA"/>
        </w:rPr>
        <w:t xml:space="preserve"> документів, а також забезпечує всіх суб’єктів господарської діяльності необхідними орієнтирами для планування власної виробничої діяльності; </w:t>
      </w:r>
    </w:p>
    <w:p>
      <w:pPr>
        <w:pStyle w:val="Rvps2"/>
        <w:shd w:val="clear" w:color="auto" w:fill="FFFFFF"/>
        <w:spacing w:beforeAutospacing="0" w:before="0" w:afterAutospacing="0" w:after="0"/>
        <w:ind w:firstLine="709"/>
        <w:jc w:val="both"/>
        <w:textAlignment w:val="baseline"/>
        <w:rPr>
          <w:lang w:val="uk-UA"/>
        </w:rPr>
      </w:pPr>
      <w:r>
        <w:rPr>
          <w:lang w:val="uk-UA"/>
        </w:rPr>
        <w:t xml:space="preserve">недискримінація – забезпечення особі та/або групі осіб рівних прав та можливостей незалежно від ознак раси, кольору шкіри, політичних, релігійних та інших переконань, статі, віку, інвалідності, етнічного та соціального походження, громадянства, сімейного та майнового стану, місця проживання, мовних або інших ознак під час розроблення та реалізації документів; </w:t>
      </w:r>
    </w:p>
    <w:p>
      <w:pPr>
        <w:pStyle w:val="Rvps2"/>
        <w:shd w:val="clear" w:color="auto" w:fill="FFFFFF"/>
        <w:spacing w:beforeAutospacing="0" w:before="0" w:afterAutospacing="0" w:after="0"/>
        <w:ind w:firstLine="709"/>
        <w:jc w:val="both"/>
        <w:textAlignment w:val="baseline"/>
        <w:rPr>
          <w:lang w:val="uk-UA"/>
        </w:rPr>
      </w:pPr>
      <w:r>
        <w:rPr>
          <w:lang w:val="uk-UA"/>
        </w:rPr>
        <w:t>ефективність – визначення та забезпечення функціонування механізму досягнення цілей, виконання завдань, заходів у встановлені терміни;</w:t>
      </w:r>
    </w:p>
    <w:p>
      <w:pPr>
        <w:pStyle w:val="Rvps2"/>
        <w:shd w:val="clear" w:color="auto" w:fill="FFFFFF"/>
        <w:spacing w:beforeAutospacing="0" w:before="0" w:afterAutospacing="0" w:after="0"/>
        <w:ind w:firstLine="709"/>
        <w:jc w:val="both"/>
        <w:textAlignment w:val="baseline"/>
        <w:rPr>
          <w:lang w:val="uk-UA"/>
        </w:rPr>
      </w:pPr>
      <w:r>
        <w:rPr>
          <w:lang w:val="uk-UA"/>
        </w:rPr>
        <w:t>історична спадкоємність – врахування та збереження позитивних надбань попереднього розвитку громад (и);</w:t>
      </w:r>
    </w:p>
    <w:p>
      <w:pPr>
        <w:pStyle w:val="Rvps2"/>
        <w:shd w:val="clear" w:color="auto" w:fill="FFFFFF"/>
        <w:spacing w:beforeAutospacing="0" w:before="0" w:afterAutospacing="0" w:after="0"/>
        <w:ind w:firstLine="709"/>
        <w:jc w:val="both"/>
        <w:textAlignment w:val="baseline"/>
        <w:rPr>
          <w:lang w:val="uk-UA"/>
        </w:rPr>
      </w:pPr>
      <w:r>
        <w:rPr>
          <w:lang w:val="uk-UA"/>
        </w:rPr>
        <w:t>сталий розвиток – забезпечення розвитку громади для задоволення потреб нинішнього покоління з урахуванням інтересів майбутніх поколінь.</w:t>
      </w:r>
    </w:p>
    <w:p>
      <w:pPr>
        <w:pStyle w:val="Normal"/>
        <w:spacing w:lineRule="auto" w:line="240" w:before="120" w:after="0"/>
        <w:ind w:firstLine="708"/>
        <w:jc w:val="both"/>
        <w:rPr/>
      </w:pPr>
      <w:r>
        <w:rPr>
          <w:rFonts w:cs="Times New Roman" w:ascii="Times New Roman" w:hAnsi="Times New Roman"/>
          <w:sz w:val="24"/>
          <w:szCs w:val="24"/>
        </w:rPr>
        <w:t>Увесь процес розробки Стратегії розвитку Каховської громади проходив із залученням широкого кола громадян, що дозволило ідентифікувати та знайти прийнятні шляхи усунення проблем громади, забезпечити налагодження діалогу між громадськістю та владою. При цьому однією з основних складових процесу планування є обов’язкова участь у ньому активних та зацікавлених представників громади. Розроблена таким чином стратегія відображає інтереси усіх громадян, а тому сприймається громадою як «своя». Створений таким чином разом з громадою документ незалежно від особистісних якостей керівників або політичної ситуації спрямовується на покращення стандартів життя, зміцнення місцевої демократії, виховання суспільно-активних громадян – патріотів своєї громади.</w:t>
      </w:r>
    </w:p>
    <w:p>
      <w:pPr>
        <w:pStyle w:val="Normal"/>
        <w:spacing w:lineRule="auto" w:line="240" w:before="120" w:after="0"/>
        <w:ind w:firstLine="708"/>
        <w:jc w:val="both"/>
        <w:rPr/>
      </w:pPr>
      <w:r>
        <w:rPr>
          <w:rFonts w:cs="Times New Roman" w:ascii="Times New Roman" w:hAnsi="Times New Roman"/>
          <w:sz w:val="24"/>
          <w:szCs w:val="24"/>
        </w:rPr>
        <w:t>Підготовка стратегічного плану розпочалася з ухвалення Розпорядження Каховського міського голови № 203-р від 11 грудня 2020 року «Про створення Робочої групи з розробки Стратегії розвитку Каховської міської територіальної громади на 2021- 2027 роки». У зв’язку з кадровими змінами розпорядженням міського голови № 145-р від 12 липня 2021 року  оновлено склад Робочої групи (Таблиця 1)</w:t>
      </w:r>
    </w:p>
    <w:p>
      <w:pPr>
        <w:pStyle w:val="Normal"/>
        <w:spacing w:lineRule="auto" w:line="240" w:before="0" w:after="0"/>
        <w:ind w:firstLine="709"/>
        <w:jc w:val="both"/>
        <w:rPr>
          <w:rFonts w:ascii="Times New Roman" w:hAnsi="Times New Roman" w:cs="Times New Roman"/>
          <w:sz w:val="16"/>
          <w:szCs w:val="16"/>
        </w:rPr>
      </w:pPr>
      <w:r>
        <w:rPr>
          <w:rFonts w:cs="Times New Roman" w:ascii="Times New Roman" w:hAnsi="Times New Roman"/>
          <w:sz w:val="16"/>
          <w:szCs w:val="16"/>
        </w:rPr>
      </w:r>
    </w:p>
    <w:p>
      <w:pPr>
        <w:pStyle w:val="TableTitle"/>
        <w:numPr>
          <w:ilvl w:val="0"/>
          <w:numId w:val="2"/>
        </w:numPr>
        <w:ind w:left="714" w:hanging="357"/>
        <w:rPr/>
      </w:pPr>
      <w:bookmarkStart w:id="11" w:name="_Hlk68610540"/>
      <w:bookmarkStart w:id="12" w:name="_Toc84967202"/>
      <w:bookmarkEnd w:id="11"/>
      <w:bookmarkEnd w:id="12"/>
      <w:r>
        <w:rPr/>
        <w:t>Склад Робочої групи з підготовки Стратегії</w:t>
      </w:r>
    </w:p>
    <w:tbl>
      <w:tblPr>
        <w:tblW w:w="10155" w:type="dxa"/>
        <w:jc w:val="left"/>
        <w:tblInd w:w="74" w:type="dxa"/>
        <w:tblBorders>
          <w:top w:val="single" w:sz="4" w:space="0" w:color="00000A"/>
          <w:left w:val="single" w:sz="4" w:space="0" w:color="00000A"/>
          <w:bottom w:val="single" w:sz="4" w:space="0" w:color="00000A"/>
          <w:insideH w:val="single" w:sz="4" w:space="0" w:color="00000A"/>
        </w:tblBorders>
        <w:tblCellMar>
          <w:top w:w="0" w:type="dxa"/>
          <w:left w:w="93" w:type="dxa"/>
          <w:bottom w:w="0" w:type="dxa"/>
          <w:right w:w="108" w:type="dxa"/>
        </w:tblCellMar>
      </w:tblPr>
      <w:tblGrid>
        <w:gridCol w:w="555"/>
        <w:gridCol w:w="3630"/>
        <w:gridCol w:w="5970"/>
      </w:tblGrid>
      <w:tr>
        <w:trPr/>
        <w:tc>
          <w:tcPr>
            <w:tcW w:w="555" w:type="dxa"/>
            <w:tcBorders>
              <w:top w:val="single" w:sz="4" w:space="0" w:color="00000A"/>
              <w:left w:val="single" w:sz="4" w:space="0" w:color="00000A"/>
              <w:bottom w:val="single" w:sz="4" w:space="0" w:color="00000A"/>
              <w:insideH w:val="single" w:sz="4" w:space="0" w:color="00000A"/>
            </w:tcBorders>
            <w:shd w:fill="FFFFFF" w:val="clear"/>
            <w:tcMar>
              <w:left w:w="93" w:type="dxa"/>
            </w:tcMar>
          </w:tcPr>
          <w:p>
            <w:pPr>
              <w:pStyle w:val="Normal"/>
              <w:spacing w:lineRule="auto" w:line="240" w:before="0" w:after="0"/>
              <w:jc w:val="center"/>
              <w:rPr/>
            </w:pPr>
            <w:r>
              <w:rPr>
                <w:rFonts w:eastAsia="Times New Roman" w:cs="Times New Roman" w:ascii="Times New Roman" w:hAnsi="Times New Roman"/>
                <w:sz w:val="24"/>
                <w:szCs w:val="24"/>
                <w:lang w:val="uk-UA" w:eastAsia="ru-RU"/>
              </w:rPr>
              <w:t xml:space="preserve">№ </w:t>
            </w:r>
            <w:r>
              <w:rPr>
                <w:rFonts w:eastAsia="Times New Roman" w:cs="Times New Roman" w:ascii="Times New Roman" w:hAnsi="Times New Roman"/>
                <w:sz w:val="24"/>
                <w:szCs w:val="24"/>
                <w:lang w:val="uk-UA" w:eastAsia="ru-RU"/>
              </w:rPr>
              <w:t>н/п</w:t>
            </w:r>
          </w:p>
        </w:tc>
        <w:tc>
          <w:tcPr>
            <w:tcW w:w="3630" w:type="dxa"/>
            <w:tcBorders>
              <w:top w:val="single" w:sz="4" w:space="0" w:color="00000A"/>
              <w:left w:val="single" w:sz="4" w:space="0" w:color="00000A"/>
              <w:bottom w:val="single" w:sz="4" w:space="0" w:color="00000A"/>
              <w:insideH w:val="single" w:sz="4" w:space="0" w:color="00000A"/>
            </w:tcBorders>
            <w:shd w:fill="FFFFFF" w:val="clear"/>
            <w:tcMar>
              <w:left w:w="93" w:type="dxa"/>
            </w:tcMar>
          </w:tcPr>
          <w:p>
            <w:pPr>
              <w:pStyle w:val="Normal"/>
              <w:spacing w:lineRule="auto" w:line="240" w:before="0" w:after="0"/>
              <w:jc w:val="center"/>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 xml:space="preserve">Прізвище ім’я по батькові </w:t>
            </w:r>
          </w:p>
        </w:tc>
        <w:tc>
          <w:tcPr>
            <w:tcW w:w="5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93" w:type="dxa"/>
            </w:tcMar>
          </w:tcPr>
          <w:p>
            <w:pPr>
              <w:pStyle w:val="Normal"/>
              <w:spacing w:lineRule="auto" w:line="240" w:before="0" w:after="0"/>
              <w:jc w:val="center"/>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 xml:space="preserve">Посада </w:t>
            </w:r>
          </w:p>
        </w:tc>
      </w:tr>
      <w:tr>
        <w:trPr/>
        <w:tc>
          <w:tcPr>
            <w:tcW w:w="555" w:type="dxa"/>
            <w:tcBorders>
              <w:top w:val="single" w:sz="4" w:space="0" w:color="00000A"/>
              <w:left w:val="single" w:sz="4" w:space="0" w:color="00000A"/>
              <w:bottom w:val="single" w:sz="4" w:space="0" w:color="00000A"/>
              <w:insideH w:val="single" w:sz="4" w:space="0" w:color="00000A"/>
            </w:tcBorders>
            <w:shd w:fill="FFFFFF" w:val="clear"/>
            <w:tcMar>
              <w:left w:w="93" w:type="dxa"/>
            </w:tcMar>
          </w:tcPr>
          <w:p>
            <w:pPr>
              <w:pStyle w:val="Normal"/>
              <w:spacing w:lineRule="auto" w:line="240" w:before="0" w:after="0"/>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1</w:t>
            </w:r>
          </w:p>
        </w:tc>
        <w:tc>
          <w:tcPr>
            <w:tcW w:w="3630" w:type="dxa"/>
            <w:tcBorders>
              <w:top w:val="single" w:sz="4" w:space="0" w:color="00000A"/>
              <w:left w:val="single" w:sz="4" w:space="0" w:color="00000A"/>
              <w:bottom w:val="single" w:sz="4" w:space="0" w:color="00000A"/>
              <w:insideH w:val="single" w:sz="4" w:space="0" w:color="00000A"/>
            </w:tcBorders>
            <w:shd w:fill="FFFFFF" w:val="clear"/>
            <w:tcMar>
              <w:left w:w="93" w:type="dxa"/>
            </w:tcMar>
          </w:tcPr>
          <w:p>
            <w:pPr>
              <w:pStyle w:val="Normal"/>
              <w:snapToGrid w:val="false"/>
              <w:spacing w:lineRule="auto" w:line="240" w:before="0" w:after="0"/>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Галина ГОНДАРЕВА</w:t>
            </w:r>
          </w:p>
        </w:tc>
        <w:tc>
          <w:tcPr>
            <w:tcW w:w="5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93" w:type="dxa"/>
            </w:tcMar>
          </w:tcPr>
          <w:p>
            <w:pPr>
              <w:pStyle w:val="Normal"/>
              <w:snapToGrid w:val="false"/>
              <w:spacing w:lineRule="auto" w:line="240" w:before="0" w:after="0"/>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 xml:space="preserve">заступник міського голови з питань діяльності виконавчих органів ради, голова робочої групи </w:t>
            </w:r>
          </w:p>
        </w:tc>
      </w:tr>
      <w:tr>
        <w:trPr/>
        <w:tc>
          <w:tcPr>
            <w:tcW w:w="555" w:type="dxa"/>
            <w:tcBorders>
              <w:top w:val="single" w:sz="4" w:space="0" w:color="00000A"/>
              <w:left w:val="single" w:sz="4" w:space="0" w:color="00000A"/>
              <w:bottom w:val="single" w:sz="4" w:space="0" w:color="00000A"/>
              <w:insideH w:val="single" w:sz="4" w:space="0" w:color="00000A"/>
            </w:tcBorders>
            <w:shd w:fill="FFFFFF" w:val="clear"/>
            <w:tcMar>
              <w:left w:w="93" w:type="dxa"/>
            </w:tcMar>
          </w:tcPr>
          <w:p>
            <w:pPr>
              <w:pStyle w:val="Normal"/>
              <w:spacing w:lineRule="auto" w:line="240" w:before="0" w:after="0"/>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2</w:t>
            </w:r>
          </w:p>
        </w:tc>
        <w:tc>
          <w:tcPr>
            <w:tcW w:w="3630" w:type="dxa"/>
            <w:tcBorders>
              <w:top w:val="single" w:sz="4" w:space="0" w:color="00000A"/>
              <w:left w:val="single" w:sz="4" w:space="0" w:color="00000A"/>
              <w:bottom w:val="single" w:sz="4" w:space="0" w:color="00000A"/>
              <w:insideH w:val="single" w:sz="4" w:space="0" w:color="00000A"/>
            </w:tcBorders>
            <w:shd w:fill="FFFFFF" w:val="clear"/>
            <w:tcMar>
              <w:left w:w="93" w:type="dxa"/>
            </w:tcMar>
          </w:tcPr>
          <w:p>
            <w:pPr>
              <w:pStyle w:val="Normal"/>
              <w:snapToGrid w:val="false"/>
              <w:spacing w:lineRule="auto" w:line="240" w:before="0" w:after="0"/>
              <w:rPr/>
            </w:pPr>
            <w:r>
              <w:rPr>
                <w:rFonts w:eastAsia="Times New Roman" w:cs="Times New Roman" w:ascii="Times New Roman" w:hAnsi="Times New Roman"/>
                <w:sz w:val="24"/>
                <w:szCs w:val="24"/>
                <w:lang w:val="uk-UA" w:eastAsia="ru-RU"/>
              </w:rPr>
              <w:t>Галина ЛОБУНЬКО</w:t>
            </w:r>
          </w:p>
        </w:tc>
        <w:tc>
          <w:tcPr>
            <w:tcW w:w="5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93" w:type="dxa"/>
            </w:tcMar>
          </w:tcPr>
          <w:p>
            <w:pPr>
              <w:pStyle w:val="Normal"/>
              <w:snapToGrid w:val="false"/>
              <w:spacing w:lineRule="auto" w:line="240" w:before="0" w:after="0"/>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заступник міського голови з питань діяльності виконавчих органів ради, заступник голови робочої групи</w:t>
            </w:r>
          </w:p>
        </w:tc>
      </w:tr>
      <w:tr>
        <w:trPr/>
        <w:tc>
          <w:tcPr>
            <w:tcW w:w="555" w:type="dxa"/>
            <w:tcBorders>
              <w:top w:val="single" w:sz="4" w:space="0" w:color="00000A"/>
              <w:left w:val="single" w:sz="4" w:space="0" w:color="00000A"/>
              <w:bottom w:val="single" w:sz="4" w:space="0" w:color="00000A"/>
              <w:insideH w:val="single" w:sz="4" w:space="0" w:color="00000A"/>
            </w:tcBorders>
            <w:shd w:fill="FFFFFF" w:val="clear"/>
            <w:tcMar>
              <w:left w:w="93" w:type="dxa"/>
            </w:tcMar>
          </w:tcPr>
          <w:p>
            <w:pPr>
              <w:pStyle w:val="Normal"/>
              <w:spacing w:lineRule="auto" w:line="240" w:before="0" w:after="0"/>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3</w:t>
            </w:r>
          </w:p>
        </w:tc>
        <w:tc>
          <w:tcPr>
            <w:tcW w:w="3630" w:type="dxa"/>
            <w:tcBorders>
              <w:top w:val="single" w:sz="4" w:space="0" w:color="00000A"/>
              <w:left w:val="single" w:sz="4" w:space="0" w:color="00000A"/>
              <w:bottom w:val="single" w:sz="4" w:space="0" w:color="00000A"/>
              <w:insideH w:val="single" w:sz="4" w:space="0" w:color="00000A"/>
            </w:tcBorders>
            <w:shd w:fill="FFFFFF" w:val="clear"/>
            <w:tcMar>
              <w:left w:w="93" w:type="dxa"/>
            </w:tcMar>
          </w:tcPr>
          <w:p>
            <w:pPr>
              <w:pStyle w:val="Normal"/>
              <w:snapToGrid w:val="false"/>
              <w:spacing w:lineRule="auto" w:line="240" w:before="0" w:after="0"/>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Ганна КОЗЛОВА</w:t>
            </w:r>
          </w:p>
        </w:tc>
        <w:tc>
          <w:tcPr>
            <w:tcW w:w="5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93" w:type="dxa"/>
            </w:tcMar>
          </w:tcPr>
          <w:p>
            <w:pPr>
              <w:pStyle w:val="Normal"/>
              <w:snapToGrid w:val="false"/>
              <w:spacing w:lineRule="auto" w:line="240" w:before="0" w:after="0"/>
              <w:rPr/>
            </w:pPr>
            <w:r>
              <w:rPr>
                <w:rFonts w:eastAsia="Times New Roman" w:cs="Times New Roman" w:ascii="Times New Roman" w:hAnsi="Times New Roman"/>
                <w:sz w:val="24"/>
                <w:szCs w:val="24"/>
                <w:lang w:val="uk-UA" w:eastAsia="ru-RU"/>
              </w:rPr>
              <w:t xml:space="preserve">головний спеціаліст </w:t>
            </w:r>
            <w:r>
              <w:rPr>
                <w:rFonts w:eastAsia="Times New Roman" w:cs="Times New Roman" w:ascii="Times New Roman" w:hAnsi="Times New Roman"/>
                <w:color w:val="000000"/>
                <w:sz w:val="24"/>
                <w:szCs w:val="24"/>
                <w:lang w:val="uk-UA" w:eastAsia="ru-RU"/>
              </w:rPr>
              <w:t>відділу економічного розвитку, інвестицій та регуляторної політики, секретар робочої групи</w:t>
            </w:r>
          </w:p>
        </w:tc>
      </w:tr>
      <w:tr>
        <w:trPr/>
        <w:tc>
          <w:tcPr>
            <w:tcW w:w="10155"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93" w:type="dxa"/>
            </w:tcMar>
          </w:tcPr>
          <w:p>
            <w:pPr>
              <w:pStyle w:val="Normal"/>
              <w:spacing w:lineRule="auto" w:line="240" w:before="0" w:after="0"/>
              <w:jc w:val="center"/>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Члени робочої групи</w:t>
            </w:r>
          </w:p>
          <w:p>
            <w:pPr>
              <w:pStyle w:val="Normal"/>
              <w:spacing w:lineRule="auto" w:line="240" w:before="0" w:after="0"/>
              <w:jc w:val="center"/>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r>
          </w:p>
        </w:tc>
      </w:tr>
      <w:tr>
        <w:trPr/>
        <w:tc>
          <w:tcPr>
            <w:tcW w:w="555" w:type="dxa"/>
            <w:tcBorders>
              <w:top w:val="single" w:sz="4" w:space="0" w:color="00000A"/>
              <w:left w:val="single" w:sz="4" w:space="0" w:color="00000A"/>
              <w:bottom w:val="single" w:sz="4" w:space="0" w:color="00000A"/>
              <w:insideH w:val="single" w:sz="4" w:space="0" w:color="00000A"/>
            </w:tcBorders>
            <w:shd w:fill="FFFFFF" w:val="clear"/>
            <w:tcMar>
              <w:left w:w="93" w:type="dxa"/>
            </w:tcMar>
          </w:tcPr>
          <w:p>
            <w:pPr>
              <w:pStyle w:val="Normal"/>
              <w:spacing w:lineRule="auto" w:line="240" w:before="0" w:after="0"/>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4</w:t>
            </w:r>
          </w:p>
        </w:tc>
        <w:tc>
          <w:tcPr>
            <w:tcW w:w="3630" w:type="dxa"/>
            <w:tcBorders>
              <w:top w:val="single" w:sz="4" w:space="0" w:color="00000A"/>
              <w:left w:val="single" w:sz="4" w:space="0" w:color="00000A"/>
              <w:bottom w:val="single" w:sz="4" w:space="0" w:color="00000A"/>
              <w:insideH w:val="single" w:sz="4" w:space="0" w:color="00000A"/>
            </w:tcBorders>
            <w:shd w:fill="FFFFFF" w:val="clear"/>
            <w:tcMar>
              <w:left w:w="93" w:type="dxa"/>
            </w:tcMar>
          </w:tcPr>
          <w:p>
            <w:pPr>
              <w:pStyle w:val="Normal"/>
              <w:snapToGrid w:val="false"/>
              <w:spacing w:lineRule="auto" w:line="240" w:before="0" w:after="0"/>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Алла КАМЄНЄВА</w:t>
            </w:r>
          </w:p>
        </w:tc>
        <w:tc>
          <w:tcPr>
            <w:tcW w:w="5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93" w:type="dxa"/>
            </w:tcMar>
          </w:tcPr>
          <w:p>
            <w:pPr>
              <w:pStyle w:val="Normal"/>
              <w:tabs>
                <w:tab w:val="left" w:pos="7371" w:leader="none"/>
              </w:tabs>
              <w:spacing w:before="0" w:after="200"/>
              <w:ind w:left="0" w:right="0" w:hanging="0"/>
              <w:jc w:val="both"/>
              <w:rPr>
                <w:rFonts w:ascii="Times New Roman" w:hAnsi="Times New Roman" w:cs="Times New Roman"/>
                <w:color w:val="000000"/>
                <w:sz w:val="24"/>
                <w:szCs w:val="24"/>
                <w:lang w:val="uk-UA"/>
              </w:rPr>
            </w:pPr>
            <w:r>
              <w:rPr>
                <w:rFonts w:cs="Times New Roman" w:ascii="Times New Roman" w:hAnsi="Times New Roman"/>
                <w:color w:val="000000"/>
                <w:sz w:val="24"/>
                <w:szCs w:val="24"/>
                <w:lang w:val="uk-UA"/>
              </w:rPr>
              <w:t>начальниця відділу економічного розвитку, інвестицій та регуляторної політики</w:t>
            </w:r>
          </w:p>
        </w:tc>
      </w:tr>
      <w:tr>
        <w:trPr/>
        <w:tc>
          <w:tcPr>
            <w:tcW w:w="555" w:type="dxa"/>
            <w:tcBorders>
              <w:top w:val="single" w:sz="4" w:space="0" w:color="00000A"/>
              <w:left w:val="single" w:sz="4" w:space="0" w:color="00000A"/>
              <w:bottom w:val="single" w:sz="4" w:space="0" w:color="00000A"/>
              <w:insideH w:val="single" w:sz="4" w:space="0" w:color="00000A"/>
            </w:tcBorders>
            <w:shd w:fill="FFFFFF" w:val="clear"/>
            <w:tcMar>
              <w:left w:w="93" w:type="dxa"/>
            </w:tcMar>
          </w:tcPr>
          <w:p>
            <w:pPr>
              <w:pStyle w:val="Normal"/>
              <w:spacing w:lineRule="auto" w:line="240" w:before="0" w:after="0"/>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5</w:t>
            </w:r>
          </w:p>
        </w:tc>
        <w:tc>
          <w:tcPr>
            <w:tcW w:w="3630" w:type="dxa"/>
            <w:tcBorders>
              <w:top w:val="single" w:sz="4" w:space="0" w:color="00000A"/>
              <w:left w:val="single" w:sz="4" w:space="0" w:color="00000A"/>
              <w:bottom w:val="single" w:sz="4" w:space="0" w:color="00000A"/>
              <w:insideH w:val="single" w:sz="4" w:space="0" w:color="00000A"/>
            </w:tcBorders>
            <w:shd w:fill="FFFFFF" w:val="clear"/>
            <w:tcMar>
              <w:left w:w="93" w:type="dxa"/>
            </w:tcMar>
          </w:tcPr>
          <w:p>
            <w:pPr>
              <w:pStyle w:val="Normal"/>
              <w:snapToGrid w:val="false"/>
              <w:spacing w:lineRule="auto" w:line="240" w:before="0" w:after="0"/>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Христина ТУЛАНОВА</w:t>
            </w:r>
          </w:p>
        </w:tc>
        <w:tc>
          <w:tcPr>
            <w:tcW w:w="5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93" w:type="dxa"/>
            </w:tcMar>
          </w:tcPr>
          <w:p>
            <w:pPr>
              <w:pStyle w:val="Normal"/>
              <w:snapToGrid w:val="false"/>
              <w:spacing w:lineRule="auto" w:line="240" w:before="0" w:after="0"/>
              <w:rPr>
                <w:rFonts w:ascii="Times New Roman" w:hAnsi="Times New Roman" w:eastAsia="Times New Roman" w:cs="Times New Roman"/>
                <w:color w:val="000000"/>
                <w:sz w:val="24"/>
                <w:szCs w:val="24"/>
                <w:lang w:val="uk-UA" w:eastAsia="ru-RU"/>
              </w:rPr>
            </w:pPr>
            <w:r>
              <w:rPr>
                <w:rFonts w:eastAsia="Times New Roman" w:cs="Times New Roman" w:ascii="Times New Roman" w:hAnsi="Times New Roman"/>
                <w:color w:val="000000"/>
                <w:sz w:val="24"/>
                <w:szCs w:val="24"/>
                <w:lang w:val="uk-UA" w:eastAsia="ru-RU"/>
              </w:rPr>
              <w:t>головний спеціаліст відділу організаційно-кадрової роботи, інформаційної</w:t>
            </w:r>
          </w:p>
          <w:p>
            <w:pPr>
              <w:pStyle w:val="Normal"/>
              <w:snapToGrid w:val="false"/>
              <w:spacing w:lineRule="auto" w:line="240" w:before="0" w:after="0"/>
              <w:rPr>
                <w:rFonts w:ascii="Times New Roman" w:hAnsi="Times New Roman" w:eastAsia="Times New Roman" w:cs="Times New Roman"/>
                <w:color w:val="000000"/>
                <w:sz w:val="24"/>
                <w:szCs w:val="24"/>
                <w:lang w:val="uk-UA" w:eastAsia="ru-RU"/>
              </w:rPr>
            </w:pPr>
            <w:r>
              <w:rPr>
                <w:rFonts w:eastAsia="Times New Roman" w:cs="Times New Roman" w:ascii="Times New Roman" w:hAnsi="Times New Roman"/>
                <w:color w:val="000000"/>
                <w:sz w:val="24"/>
                <w:szCs w:val="24"/>
                <w:lang w:val="uk-UA" w:eastAsia="ru-RU"/>
              </w:rPr>
              <w:t>політики та взаємодії з громадськістю</w:t>
            </w:r>
          </w:p>
        </w:tc>
      </w:tr>
      <w:tr>
        <w:trPr/>
        <w:tc>
          <w:tcPr>
            <w:tcW w:w="555" w:type="dxa"/>
            <w:tcBorders>
              <w:top w:val="single" w:sz="4" w:space="0" w:color="00000A"/>
              <w:left w:val="single" w:sz="4" w:space="0" w:color="00000A"/>
              <w:bottom w:val="single" w:sz="4" w:space="0" w:color="00000A"/>
              <w:insideH w:val="single" w:sz="4" w:space="0" w:color="00000A"/>
            </w:tcBorders>
            <w:shd w:fill="FFFFFF" w:val="clear"/>
            <w:tcMar>
              <w:left w:w="93" w:type="dxa"/>
            </w:tcMar>
          </w:tcPr>
          <w:p>
            <w:pPr>
              <w:pStyle w:val="Normal"/>
              <w:spacing w:lineRule="auto" w:line="240" w:before="0" w:after="0"/>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6</w:t>
            </w:r>
          </w:p>
        </w:tc>
        <w:tc>
          <w:tcPr>
            <w:tcW w:w="3630" w:type="dxa"/>
            <w:tcBorders>
              <w:top w:val="single" w:sz="4" w:space="0" w:color="00000A"/>
              <w:left w:val="single" w:sz="4" w:space="0" w:color="00000A"/>
              <w:bottom w:val="single" w:sz="4" w:space="0" w:color="00000A"/>
              <w:insideH w:val="single" w:sz="4" w:space="0" w:color="00000A"/>
            </w:tcBorders>
            <w:shd w:fill="FFFFFF" w:val="clear"/>
            <w:tcMar>
              <w:left w:w="93" w:type="dxa"/>
            </w:tcMar>
          </w:tcPr>
          <w:p>
            <w:pPr>
              <w:pStyle w:val="Normal"/>
              <w:snapToGrid w:val="false"/>
              <w:spacing w:lineRule="auto" w:line="240" w:before="0" w:after="0"/>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Андрій КАШУЛІН</w:t>
            </w:r>
          </w:p>
        </w:tc>
        <w:tc>
          <w:tcPr>
            <w:tcW w:w="5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93" w:type="dxa"/>
            </w:tcMar>
          </w:tcPr>
          <w:p>
            <w:pPr>
              <w:pStyle w:val="Normal"/>
              <w:spacing w:before="0" w:after="200"/>
              <w:rPr/>
            </w:pPr>
            <w:r>
              <w:rPr>
                <w:rFonts w:cs="Times New Roman" w:ascii="Times New Roman" w:hAnsi="Times New Roman"/>
                <w:sz w:val="24"/>
                <w:szCs w:val="24"/>
                <w:lang w:val="uk-UA" w:eastAsia="zh-CN" w:bidi="ar-SA"/>
              </w:rPr>
              <w:t>начальник відділу міського господарства, надзвичайних ситуацій,</w:t>
            </w:r>
            <w:r>
              <w:rPr>
                <w:rFonts w:eastAsia="Times New Roman" w:cs="Times New Roman" w:ascii="Times New Roman" w:hAnsi="Times New Roman"/>
                <w:sz w:val="24"/>
                <w:szCs w:val="24"/>
                <w:lang w:val="uk-UA" w:eastAsia="zh-CN" w:bidi="ar-SA"/>
              </w:rPr>
              <w:t xml:space="preserve"> обліку житла </w:t>
            </w:r>
          </w:p>
        </w:tc>
      </w:tr>
      <w:tr>
        <w:trPr/>
        <w:tc>
          <w:tcPr>
            <w:tcW w:w="555" w:type="dxa"/>
            <w:tcBorders>
              <w:top w:val="single" w:sz="4" w:space="0" w:color="00000A"/>
              <w:left w:val="single" w:sz="4" w:space="0" w:color="00000A"/>
              <w:bottom w:val="single" w:sz="4" w:space="0" w:color="00000A"/>
              <w:insideH w:val="single" w:sz="4" w:space="0" w:color="00000A"/>
            </w:tcBorders>
            <w:shd w:fill="FFFFFF" w:val="clear"/>
            <w:tcMar>
              <w:left w:w="93" w:type="dxa"/>
            </w:tcMar>
          </w:tcPr>
          <w:p>
            <w:pPr>
              <w:pStyle w:val="Normal"/>
              <w:spacing w:lineRule="auto" w:line="240" w:before="0" w:after="0"/>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7</w:t>
            </w:r>
          </w:p>
        </w:tc>
        <w:tc>
          <w:tcPr>
            <w:tcW w:w="3630" w:type="dxa"/>
            <w:tcBorders>
              <w:top w:val="single" w:sz="4" w:space="0" w:color="00000A"/>
              <w:left w:val="single" w:sz="4" w:space="0" w:color="00000A"/>
              <w:bottom w:val="single" w:sz="4" w:space="0" w:color="00000A"/>
              <w:insideH w:val="single" w:sz="4" w:space="0" w:color="00000A"/>
            </w:tcBorders>
            <w:shd w:fill="FFFFFF" w:val="clear"/>
            <w:tcMar>
              <w:left w:w="93" w:type="dxa"/>
            </w:tcMar>
          </w:tcPr>
          <w:p>
            <w:pPr>
              <w:pStyle w:val="Normal"/>
              <w:snapToGrid w:val="false"/>
              <w:spacing w:lineRule="auto" w:line="240" w:before="0" w:after="0"/>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Сергій КАШУЛІН</w:t>
            </w:r>
          </w:p>
        </w:tc>
        <w:tc>
          <w:tcPr>
            <w:tcW w:w="5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93" w:type="dxa"/>
            </w:tcMar>
          </w:tcPr>
          <w:p>
            <w:pPr>
              <w:pStyle w:val="Normal"/>
              <w:snapToGrid w:val="false"/>
              <w:spacing w:lineRule="auto" w:line="240" w:before="0" w:after="0"/>
              <w:jc w:val="both"/>
              <w:rPr>
                <w:rFonts w:ascii="Times New Roman" w:hAnsi="Times New Roman" w:eastAsia="Times New Roman" w:cs="Liberation Serif;Times New Roman"/>
                <w:sz w:val="24"/>
                <w:szCs w:val="24"/>
                <w:lang w:val="uk-UA" w:eastAsia="ru-RU"/>
              </w:rPr>
            </w:pPr>
            <w:r>
              <w:rPr>
                <w:rFonts w:eastAsia="Times New Roman" w:cs="Liberation Serif;Times New Roman" w:ascii="Times New Roman" w:hAnsi="Times New Roman"/>
                <w:sz w:val="24"/>
                <w:szCs w:val="24"/>
                <w:lang w:val="uk-UA" w:eastAsia="ru-RU"/>
              </w:rPr>
              <w:t>начальник відділу у справах молоді та спорту</w:t>
            </w:r>
          </w:p>
        </w:tc>
      </w:tr>
      <w:tr>
        <w:trPr/>
        <w:tc>
          <w:tcPr>
            <w:tcW w:w="555" w:type="dxa"/>
            <w:tcBorders>
              <w:top w:val="single" w:sz="4" w:space="0" w:color="00000A"/>
              <w:left w:val="single" w:sz="4" w:space="0" w:color="00000A"/>
              <w:bottom w:val="single" w:sz="4" w:space="0" w:color="00000A"/>
              <w:insideH w:val="single" w:sz="4" w:space="0" w:color="00000A"/>
            </w:tcBorders>
            <w:shd w:fill="FFFFFF" w:val="clear"/>
            <w:tcMar>
              <w:left w:w="93" w:type="dxa"/>
            </w:tcMar>
          </w:tcPr>
          <w:p>
            <w:pPr>
              <w:pStyle w:val="Normal"/>
              <w:spacing w:lineRule="auto" w:line="240" w:before="0" w:after="0"/>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8</w:t>
            </w:r>
          </w:p>
        </w:tc>
        <w:tc>
          <w:tcPr>
            <w:tcW w:w="3630" w:type="dxa"/>
            <w:tcBorders>
              <w:top w:val="single" w:sz="4" w:space="0" w:color="00000A"/>
              <w:left w:val="single" w:sz="4" w:space="0" w:color="00000A"/>
              <w:bottom w:val="single" w:sz="4" w:space="0" w:color="00000A"/>
              <w:insideH w:val="single" w:sz="4" w:space="0" w:color="00000A"/>
            </w:tcBorders>
            <w:shd w:fill="FFFFFF" w:val="clear"/>
            <w:tcMar>
              <w:left w:w="93" w:type="dxa"/>
            </w:tcMar>
          </w:tcPr>
          <w:p>
            <w:pPr>
              <w:pStyle w:val="Normal"/>
              <w:snapToGrid w:val="false"/>
              <w:spacing w:lineRule="auto" w:line="240" w:before="0" w:after="0"/>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Владислава БАЗИЛЕВИЧ</w:t>
            </w:r>
          </w:p>
        </w:tc>
        <w:tc>
          <w:tcPr>
            <w:tcW w:w="5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93" w:type="dxa"/>
            </w:tcMar>
          </w:tcPr>
          <w:p>
            <w:pPr>
              <w:pStyle w:val="Normal"/>
              <w:snapToGrid w:val="false"/>
              <w:spacing w:lineRule="auto" w:line="240" w:before="0" w:after="0"/>
              <w:jc w:val="both"/>
              <w:rPr>
                <w:rFonts w:ascii="Times New Roman" w:hAnsi="Times New Roman" w:eastAsia="Times New Roman" w:cs="Liberation Serif;Times New Roman"/>
                <w:sz w:val="24"/>
                <w:szCs w:val="24"/>
                <w:lang w:val="uk-UA" w:eastAsia="ru-RU"/>
              </w:rPr>
            </w:pPr>
            <w:r>
              <w:rPr>
                <w:rFonts w:eastAsia="Times New Roman" w:cs="Liberation Serif;Times New Roman" w:ascii="Times New Roman" w:hAnsi="Times New Roman"/>
                <w:sz w:val="24"/>
                <w:szCs w:val="24"/>
                <w:lang w:val="uk-UA" w:eastAsia="ru-RU"/>
              </w:rPr>
              <w:t>заступник начальника відділу у справах молоді та спорту</w:t>
            </w:r>
          </w:p>
        </w:tc>
      </w:tr>
      <w:tr>
        <w:trPr/>
        <w:tc>
          <w:tcPr>
            <w:tcW w:w="555" w:type="dxa"/>
            <w:tcBorders>
              <w:top w:val="single" w:sz="4" w:space="0" w:color="00000A"/>
              <w:left w:val="single" w:sz="4" w:space="0" w:color="00000A"/>
              <w:bottom w:val="single" w:sz="4" w:space="0" w:color="00000A"/>
              <w:insideH w:val="single" w:sz="4" w:space="0" w:color="00000A"/>
            </w:tcBorders>
            <w:shd w:fill="FFFFFF" w:val="clear"/>
            <w:tcMar>
              <w:left w:w="93" w:type="dxa"/>
            </w:tcMar>
          </w:tcPr>
          <w:p>
            <w:pPr>
              <w:pStyle w:val="Normal"/>
              <w:spacing w:lineRule="auto" w:line="240" w:before="0" w:after="0"/>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9</w:t>
            </w:r>
          </w:p>
        </w:tc>
        <w:tc>
          <w:tcPr>
            <w:tcW w:w="3630" w:type="dxa"/>
            <w:tcBorders>
              <w:top w:val="single" w:sz="4" w:space="0" w:color="00000A"/>
              <w:left w:val="single" w:sz="4" w:space="0" w:color="00000A"/>
              <w:bottom w:val="single" w:sz="4" w:space="0" w:color="00000A"/>
              <w:insideH w:val="single" w:sz="4" w:space="0" w:color="00000A"/>
            </w:tcBorders>
            <w:shd w:fill="FFFFFF" w:val="clear"/>
            <w:tcMar>
              <w:left w:w="93" w:type="dxa"/>
            </w:tcMar>
          </w:tcPr>
          <w:p>
            <w:pPr>
              <w:pStyle w:val="Normal"/>
              <w:snapToGrid w:val="false"/>
              <w:spacing w:lineRule="auto" w:line="240" w:before="0" w:after="0"/>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Сервіназ ДЖЕПАРОВА</w:t>
            </w:r>
          </w:p>
        </w:tc>
        <w:tc>
          <w:tcPr>
            <w:tcW w:w="5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93" w:type="dxa"/>
            </w:tcMar>
          </w:tcPr>
          <w:p>
            <w:pPr>
              <w:pStyle w:val="Style23"/>
              <w:snapToGrid w:val="false"/>
              <w:spacing w:lineRule="auto" w:line="240" w:before="0" w:after="0"/>
              <w:rPr>
                <w:rFonts w:ascii="Times New Roman" w:hAnsi="Times New Roman"/>
                <w:sz w:val="24"/>
                <w:szCs w:val="24"/>
              </w:rPr>
            </w:pPr>
            <w:r>
              <w:rPr>
                <w:rFonts w:eastAsia="Times New Roman" w:cs="Times New Roman" w:ascii="Times New Roman" w:hAnsi="Times New Roman"/>
                <w:sz w:val="24"/>
                <w:szCs w:val="24"/>
                <w:lang w:val="uk-UA" w:eastAsia="zh-CN" w:bidi="ar-SA"/>
              </w:rPr>
              <w:t xml:space="preserve">начальниця відділу містобудування та архітектури, </w:t>
            </w:r>
            <w:r>
              <w:rPr>
                <w:rFonts w:cs="Times New Roman" w:ascii="Times New Roman" w:hAnsi="Times New Roman"/>
                <w:sz w:val="24"/>
                <w:szCs w:val="24"/>
                <w:lang w:val="uk-UA"/>
              </w:rPr>
              <w:t>головний архітектор міста</w:t>
            </w:r>
          </w:p>
        </w:tc>
      </w:tr>
      <w:tr>
        <w:trPr/>
        <w:tc>
          <w:tcPr>
            <w:tcW w:w="555" w:type="dxa"/>
            <w:tcBorders>
              <w:top w:val="single" w:sz="4" w:space="0" w:color="00000A"/>
              <w:left w:val="single" w:sz="4" w:space="0" w:color="00000A"/>
              <w:bottom w:val="single" w:sz="4" w:space="0" w:color="00000A"/>
              <w:insideH w:val="single" w:sz="4" w:space="0" w:color="00000A"/>
            </w:tcBorders>
            <w:shd w:fill="FFFFFF" w:val="clear"/>
            <w:tcMar>
              <w:left w:w="93" w:type="dxa"/>
            </w:tcMar>
          </w:tcPr>
          <w:p>
            <w:pPr>
              <w:pStyle w:val="Normal"/>
              <w:spacing w:lineRule="auto" w:line="240" w:before="0" w:after="0"/>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10</w:t>
            </w:r>
          </w:p>
        </w:tc>
        <w:tc>
          <w:tcPr>
            <w:tcW w:w="3630" w:type="dxa"/>
            <w:tcBorders>
              <w:top w:val="single" w:sz="4" w:space="0" w:color="00000A"/>
              <w:left w:val="single" w:sz="4" w:space="0" w:color="00000A"/>
              <w:bottom w:val="single" w:sz="4" w:space="0" w:color="00000A"/>
              <w:insideH w:val="single" w:sz="4" w:space="0" w:color="00000A"/>
            </w:tcBorders>
            <w:shd w:fill="FFFFFF" w:val="clear"/>
            <w:tcMar>
              <w:left w:w="93" w:type="dxa"/>
            </w:tcMar>
          </w:tcPr>
          <w:p>
            <w:pPr>
              <w:pStyle w:val="Normal"/>
              <w:snapToGrid w:val="false"/>
              <w:spacing w:lineRule="auto" w:line="240" w:before="0" w:after="0"/>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Анна САДОВА</w:t>
            </w:r>
          </w:p>
        </w:tc>
        <w:tc>
          <w:tcPr>
            <w:tcW w:w="5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93" w:type="dxa"/>
            </w:tcMar>
          </w:tcPr>
          <w:p>
            <w:pPr>
              <w:pStyle w:val="Normal"/>
              <w:snapToGrid w:val="false"/>
              <w:spacing w:lineRule="auto" w:line="240" w:before="0" w:after="0"/>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начальниця управління культури та туризму</w:t>
            </w:r>
          </w:p>
        </w:tc>
      </w:tr>
      <w:tr>
        <w:trPr>
          <w:trHeight w:val="362" w:hRule="atLeast"/>
        </w:trPr>
        <w:tc>
          <w:tcPr>
            <w:tcW w:w="555" w:type="dxa"/>
            <w:tcBorders>
              <w:top w:val="single" w:sz="4" w:space="0" w:color="00000A"/>
              <w:left w:val="single" w:sz="4" w:space="0" w:color="00000A"/>
              <w:bottom w:val="single" w:sz="4" w:space="0" w:color="00000A"/>
              <w:insideH w:val="single" w:sz="4" w:space="0" w:color="00000A"/>
            </w:tcBorders>
            <w:shd w:fill="FFFFFF" w:val="clear"/>
            <w:tcMar>
              <w:left w:w="93" w:type="dxa"/>
            </w:tcMar>
          </w:tcPr>
          <w:p>
            <w:pPr>
              <w:pStyle w:val="Normal"/>
              <w:spacing w:lineRule="auto" w:line="240" w:before="0" w:after="0"/>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11</w:t>
            </w:r>
          </w:p>
        </w:tc>
        <w:tc>
          <w:tcPr>
            <w:tcW w:w="3630" w:type="dxa"/>
            <w:tcBorders>
              <w:top w:val="single" w:sz="4" w:space="0" w:color="00000A"/>
              <w:left w:val="single" w:sz="4" w:space="0" w:color="00000A"/>
              <w:bottom w:val="single" w:sz="4" w:space="0" w:color="00000A"/>
              <w:insideH w:val="single" w:sz="4" w:space="0" w:color="00000A"/>
            </w:tcBorders>
            <w:shd w:fill="FFFFFF" w:val="clear"/>
            <w:tcMar>
              <w:left w:w="93" w:type="dxa"/>
            </w:tcMar>
          </w:tcPr>
          <w:p>
            <w:pPr>
              <w:pStyle w:val="Normal"/>
              <w:snapToGrid w:val="false"/>
              <w:spacing w:lineRule="auto" w:line="240" w:before="0" w:after="0"/>
              <w:jc w:val="both"/>
              <w:rPr>
                <w:rFonts w:ascii="Times New Roman" w:hAnsi="Times New Roman" w:eastAsia="Times New Roman" w:cs="Times New Roman"/>
                <w:color w:val="000000"/>
                <w:sz w:val="24"/>
                <w:szCs w:val="24"/>
                <w:lang w:val="uk-UA" w:eastAsia="ru-RU"/>
              </w:rPr>
            </w:pPr>
            <w:r>
              <w:rPr>
                <w:rFonts w:eastAsia="Times New Roman" w:cs="Times New Roman" w:ascii="Times New Roman" w:hAnsi="Times New Roman"/>
                <w:color w:val="000000"/>
                <w:sz w:val="24"/>
                <w:szCs w:val="24"/>
                <w:lang w:val="uk-UA" w:eastAsia="ru-RU"/>
              </w:rPr>
              <w:t xml:space="preserve">Наталя КАРАСЕВИЧ </w:t>
            </w:r>
          </w:p>
        </w:tc>
        <w:tc>
          <w:tcPr>
            <w:tcW w:w="5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93" w:type="dxa"/>
            </w:tcMar>
          </w:tcPr>
          <w:p>
            <w:pPr>
              <w:pStyle w:val="Normal"/>
              <w:snapToGrid w:val="false"/>
              <w:spacing w:lineRule="auto" w:line="240" w:before="0" w:after="0"/>
              <w:jc w:val="both"/>
              <w:rPr>
                <w:rFonts w:ascii="Times New Roman" w:hAnsi="Times New Roman" w:eastAsia="Times New Roman" w:cs="Times New Roman"/>
                <w:color w:val="000000"/>
                <w:sz w:val="24"/>
                <w:szCs w:val="24"/>
                <w:lang w:val="uk-UA" w:eastAsia="ru-RU"/>
              </w:rPr>
            </w:pPr>
            <w:r>
              <w:rPr>
                <w:rFonts w:eastAsia="Times New Roman" w:cs="Times New Roman" w:ascii="Times New Roman" w:hAnsi="Times New Roman"/>
                <w:color w:val="000000"/>
                <w:sz w:val="24"/>
                <w:szCs w:val="24"/>
                <w:lang w:val="uk-UA" w:eastAsia="ru-RU"/>
              </w:rPr>
              <w:t>начальниця відділу туризму та охорони культурної спадщини управління культури і туризму</w:t>
            </w:r>
          </w:p>
        </w:tc>
      </w:tr>
      <w:tr>
        <w:trPr/>
        <w:tc>
          <w:tcPr>
            <w:tcW w:w="555" w:type="dxa"/>
            <w:tcBorders>
              <w:top w:val="single" w:sz="4" w:space="0" w:color="00000A"/>
              <w:left w:val="single" w:sz="4" w:space="0" w:color="00000A"/>
              <w:bottom w:val="single" w:sz="4" w:space="0" w:color="00000A"/>
              <w:insideH w:val="single" w:sz="4" w:space="0" w:color="00000A"/>
            </w:tcBorders>
            <w:shd w:fill="FFFFFF" w:val="clear"/>
            <w:tcMar>
              <w:left w:w="93" w:type="dxa"/>
            </w:tcMar>
          </w:tcPr>
          <w:p>
            <w:pPr>
              <w:pStyle w:val="Normal"/>
              <w:spacing w:lineRule="auto" w:line="240" w:before="0" w:after="0"/>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12</w:t>
            </w:r>
          </w:p>
        </w:tc>
        <w:tc>
          <w:tcPr>
            <w:tcW w:w="3630" w:type="dxa"/>
            <w:tcBorders>
              <w:top w:val="single" w:sz="4" w:space="0" w:color="00000A"/>
              <w:left w:val="single" w:sz="4" w:space="0" w:color="00000A"/>
              <w:bottom w:val="single" w:sz="4" w:space="0" w:color="00000A"/>
              <w:insideH w:val="single" w:sz="4" w:space="0" w:color="00000A"/>
            </w:tcBorders>
            <w:shd w:fill="FFFFFF" w:val="clear"/>
            <w:tcMar>
              <w:left w:w="93" w:type="dxa"/>
            </w:tcMar>
          </w:tcPr>
          <w:p>
            <w:pPr>
              <w:pStyle w:val="Normal"/>
              <w:snapToGrid w:val="false"/>
              <w:spacing w:lineRule="auto" w:line="240" w:before="0" w:after="0"/>
              <w:jc w:val="both"/>
              <w:rPr>
                <w:rFonts w:ascii="Times New Roman" w:hAnsi="Times New Roman" w:eastAsia="Times New Roman" w:cs="Liberation Serif;Times New Roman"/>
                <w:color w:val="000000"/>
                <w:sz w:val="24"/>
                <w:szCs w:val="24"/>
                <w:lang w:val="uk-UA" w:eastAsia="ru-RU"/>
              </w:rPr>
            </w:pPr>
            <w:r>
              <w:rPr>
                <w:rFonts w:eastAsia="Times New Roman" w:cs="Liberation Serif;Times New Roman" w:ascii="Times New Roman" w:hAnsi="Times New Roman"/>
                <w:color w:val="000000"/>
                <w:sz w:val="24"/>
                <w:szCs w:val="24"/>
                <w:lang w:val="uk-UA" w:eastAsia="ru-RU"/>
              </w:rPr>
              <w:t>Оксана ПАТАЛАШКА</w:t>
            </w:r>
          </w:p>
        </w:tc>
        <w:tc>
          <w:tcPr>
            <w:tcW w:w="5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93" w:type="dxa"/>
            </w:tcMar>
          </w:tcPr>
          <w:p>
            <w:pPr>
              <w:pStyle w:val="Normal"/>
              <w:snapToGrid w:val="false"/>
              <w:spacing w:lineRule="auto" w:line="240" w:before="0" w:after="0"/>
              <w:rPr>
                <w:rFonts w:ascii="Times New Roman" w:hAnsi="Times New Roman"/>
                <w:sz w:val="24"/>
                <w:szCs w:val="24"/>
              </w:rPr>
            </w:pPr>
            <w:r>
              <w:rPr>
                <w:rFonts w:eastAsia="Times New Roman" w:cs="Times New Roman" w:ascii="Times New Roman" w:hAnsi="Times New Roman"/>
                <w:color w:val="000000"/>
                <w:sz w:val="24"/>
                <w:szCs w:val="24"/>
                <w:lang w:val="uk-UA" w:eastAsia="ru-RU"/>
              </w:rPr>
              <w:t xml:space="preserve">заступник начальника управління освіти Каховської міської ради </w:t>
            </w:r>
          </w:p>
        </w:tc>
      </w:tr>
      <w:tr>
        <w:trPr/>
        <w:tc>
          <w:tcPr>
            <w:tcW w:w="555" w:type="dxa"/>
            <w:tcBorders>
              <w:top w:val="single" w:sz="4" w:space="0" w:color="00000A"/>
              <w:left w:val="single" w:sz="4" w:space="0" w:color="00000A"/>
              <w:bottom w:val="single" w:sz="4" w:space="0" w:color="00000A"/>
              <w:insideH w:val="single" w:sz="4" w:space="0" w:color="00000A"/>
            </w:tcBorders>
            <w:shd w:fill="FFFFFF" w:val="clear"/>
            <w:tcMar>
              <w:left w:w="93" w:type="dxa"/>
            </w:tcMar>
          </w:tcPr>
          <w:p>
            <w:pPr>
              <w:pStyle w:val="Normal"/>
              <w:spacing w:lineRule="auto" w:line="240" w:before="0" w:after="0"/>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13</w:t>
            </w:r>
          </w:p>
        </w:tc>
        <w:tc>
          <w:tcPr>
            <w:tcW w:w="3630" w:type="dxa"/>
            <w:tcBorders>
              <w:top w:val="single" w:sz="4" w:space="0" w:color="00000A"/>
              <w:left w:val="single" w:sz="4" w:space="0" w:color="00000A"/>
              <w:bottom w:val="single" w:sz="4" w:space="0" w:color="00000A"/>
              <w:insideH w:val="single" w:sz="4" w:space="0" w:color="00000A"/>
            </w:tcBorders>
            <w:shd w:fill="FFFFFF" w:val="clear"/>
            <w:tcMar>
              <w:left w:w="93" w:type="dxa"/>
            </w:tcMar>
          </w:tcPr>
          <w:p>
            <w:pPr>
              <w:pStyle w:val="Normal"/>
              <w:snapToGrid w:val="false"/>
              <w:spacing w:lineRule="auto" w:line="240" w:before="0" w:after="0"/>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Жанна МАКУХА</w:t>
            </w:r>
          </w:p>
        </w:tc>
        <w:tc>
          <w:tcPr>
            <w:tcW w:w="5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93" w:type="dxa"/>
            </w:tcMar>
          </w:tcPr>
          <w:p>
            <w:pPr>
              <w:pStyle w:val="Normal"/>
              <w:snapToGrid w:val="false"/>
              <w:spacing w:lineRule="auto" w:line="240" w:before="0" w:after="0"/>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головний спеціаліст управління освіти Каховської міської ради</w:t>
            </w:r>
          </w:p>
        </w:tc>
      </w:tr>
      <w:tr>
        <w:trPr/>
        <w:tc>
          <w:tcPr>
            <w:tcW w:w="555" w:type="dxa"/>
            <w:tcBorders>
              <w:top w:val="single" w:sz="4" w:space="0" w:color="00000A"/>
              <w:left w:val="single" w:sz="4" w:space="0" w:color="00000A"/>
              <w:bottom w:val="single" w:sz="4" w:space="0" w:color="00000A"/>
              <w:insideH w:val="single" w:sz="4" w:space="0" w:color="00000A"/>
            </w:tcBorders>
            <w:shd w:fill="FFFFFF" w:val="clear"/>
            <w:tcMar>
              <w:left w:w="93" w:type="dxa"/>
            </w:tcMar>
          </w:tcPr>
          <w:p>
            <w:pPr>
              <w:pStyle w:val="Normal"/>
              <w:spacing w:lineRule="auto" w:line="240" w:before="0" w:after="0"/>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14</w:t>
            </w:r>
          </w:p>
        </w:tc>
        <w:tc>
          <w:tcPr>
            <w:tcW w:w="3630" w:type="dxa"/>
            <w:tcBorders>
              <w:top w:val="single" w:sz="4" w:space="0" w:color="00000A"/>
              <w:left w:val="single" w:sz="4" w:space="0" w:color="00000A"/>
              <w:bottom w:val="single" w:sz="4" w:space="0" w:color="00000A"/>
              <w:insideH w:val="single" w:sz="4" w:space="0" w:color="00000A"/>
            </w:tcBorders>
            <w:shd w:fill="FFFFFF" w:val="clear"/>
            <w:tcMar>
              <w:left w:w="93" w:type="dxa"/>
            </w:tcMar>
          </w:tcPr>
          <w:p>
            <w:pPr>
              <w:pStyle w:val="Normal"/>
              <w:snapToGrid w:val="false"/>
              <w:spacing w:lineRule="auto" w:line="240" w:before="0" w:after="0"/>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Юлія МИХАЛЬЧЕНКО</w:t>
            </w:r>
          </w:p>
        </w:tc>
        <w:tc>
          <w:tcPr>
            <w:tcW w:w="5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93" w:type="dxa"/>
            </w:tcMar>
          </w:tcPr>
          <w:p>
            <w:pPr>
              <w:pStyle w:val="Normal"/>
              <w:snapToGrid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головний спеціаліст юридичного відділу</w:t>
            </w:r>
          </w:p>
        </w:tc>
      </w:tr>
      <w:tr>
        <w:trPr/>
        <w:tc>
          <w:tcPr>
            <w:tcW w:w="555" w:type="dxa"/>
            <w:tcBorders>
              <w:top w:val="single" w:sz="4" w:space="0" w:color="00000A"/>
              <w:left w:val="single" w:sz="4" w:space="0" w:color="00000A"/>
              <w:bottom w:val="single" w:sz="4" w:space="0" w:color="00000A"/>
              <w:insideH w:val="single" w:sz="4" w:space="0" w:color="00000A"/>
            </w:tcBorders>
            <w:shd w:fill="FFFFFF" w:val="clear"/>
            <w:tcMar>
              <w:left w:w="93" w:type="dxa"/>
            </w:tcMar>
          </w:tcPr>
          <w:p>
            <w:pPr>
              <w:pStyle w:val="Normal"/>
              <w:spacing w:lineRule="auto" w:line="240" w:before="0" w:after="0"/>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15</w:t>
            </w:r>
          </w:p>
        </w:tc>
        <w:tc>
          <w:tcPr>
            <w:tcW w:w="3630" w:type="dxa"/>
            <w:tcBorders>
              <w:top w:val="single" w:sz="4" w:space="0" w:color="00000A"/>
              <w:left w:val="single" w:sz="4" w:space="0" w:color="00000A"/>
              <w:bottom w:val="single" w:sz="4" w:space="0" w:color="00000A"/>
              <w:insideH w:val="single" w:sz="4" w:space="0" w:color="00000A"/>
            </w:tcBorders>
            <w:shd w:fill="FFFFFF" w:val="clear"/>
            <w:tcMar>
              <w:left w:w="93" w:type="dxa"/>
            </w:tcMar>
          </w:tcPr>
          <w:p>
            <w:pPr>
              <w:pStyle w:val="Normal"/>
              <w:snapToGrid w:val="false"/>
              <w:spacing w:lineRule="auto" w:line="240" w:before="0" w:after="0"/>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Григорій ІВАСІШИН</w:t>
            </w:r>
          </w:p>
        </w:tc>
        <w:tc>
          <w:tcPr>
            <w:tcW w:w="5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93" w:type="dxa"/>
            </w:tcMar>
          </w:tcPr>
          <w:p>
            <w:pPr>
              <w:pStyle w:val="Normal"/>
              <w:snapToGrid w:val="false"/>
              <w:spacing w:lineRule="auto" w:line="240" w:before="0" w:after="0"/>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староста села Коробки</w:t>
            </w:r>
          </w:p>
        </w:tc>
      </w:tr>
      <w:tr>
        <w:trPr/>
        <w:tc>
          <w:tcPr>
            <w:tcW w:w="555" w:type="dxa"/>
            <w:tcBorders>
              <w:top w:val="single" w:sz="4" w:space="0" w:color="00000A"/>
              <w:left w:val="single" w:sz="4" w:space="0" w:color="00000A"/>
              <w:bottom w:val="single" w:sz="4" w:space="0" w:color="00000A"/>
              <w:insideH w:val="single" w:sz="4" w:space="0" w:color="00000A"/>
            </w:tcBorders>
            <w:shd w:fill="FFFFFF" w:val="clear"/>
            <w:tcMar>
              <w:left w:w="93" w:type="dxa"/>
            </w:tcMar>
          </w:tcPr>
          <w:p>
            <w:pPr>
              <w:pStyle w:val="Normal"/>
              <w:spacing w:lineRule="auto" w:line="240" w:before="0" w:after="0"/>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16</w:t>
            </w:r>
          </w:p>
        </w:tc>
        <w:tc>
          <w:tcPr>
            <w:tcW w:w="3630" w:type="dxa"/>
            <w:tcBorders>
              <w:top w:val="single" w:sz="4" w:space="0" w:color="00000A"/>
              <w:left w:val="single" w:sz="4" w:space="0" w:color="00000A"/>
              <w:bottom w:val="single" w:sz="4" w:space="0" w:color="00000A"/>
              <w:insideH w:val="single" w:sz="4" w:space="0" w:color="00000A"/>
            </w:tcBorders>
            <w:shd w:fill="FFFFFF" w:val="clear"/>
            <w:tcMar>
              <w:left w:w="93" w:type="dxa"/>
            </w:tcMar>
          </w:tcPr>
          <w:p>
            <w:pPr>
              <w:pStyle w:val="Style23"/>
              <w:snapToGrid w:val="false"/>
              <w:spacing w:lineRule="auto" w:line="288" w:before="0" w:after="0"/>
              <w:jc w:val="both"/>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Леонід КАСЬКОВИЧ</w:t>
            </w:r>
          </w:p>
        </w:tc>
        <w:tc>
          <w:tcPr>
            <w:tcW w:w="5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93" w:type="dxa"/>
            </w:tcMar>
          </w:tcPr>
          <w:p>
            <w:pPr>
              <w:pStyle w:val="Normal"/>
              <w:snapToGrid w:val="false"/>
              <w:spacing w:lineRule="auto" w:line="240" w:before="0" w:after="0"/>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староста села Малокаховка</w:t>
            </w:r>
          </w:p>
        </w:tc>
      </w:tr>
      <w:tr>
        <w:trPr/>
        <w:tc>
          <w:tcPr>
            <w:tcW w:w="555" w:type="dxa"/>
            <w:tcBorders>
              <w:top w:val="single" w:sz="4" w:space="0" w:color="00000A"/>
              <w:left w:val="single" w:sz="4" w:space="0" w:color="00000A"/>
              <w:bottom w:val="single" w:sz="4" w:space="0" w:color="00000A"/>
              <w:insideH w:val="single" w:sz="4" w:space="0" w:color="00000A"/>
            </w:tcBorders>
            <w:shd w:fill="FFFFFF" w:val="clear"/>
            <w:tcMar>
              <w:left w:w="93" w:type="dxa"/>
            </w:tcMar>
          </w:tcPr>
          <w:p>
            <w:pPr>
              <w:pStyle w:val="Normal"/>
              <w:spacing w:lineRule="auto" w:line="240" w:before="0" w:after="0"/>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17</w:t>
            </w:r>
          </w:p>
        </w:tc>
        <w:tc>
          <w:tcPr>
            <w:tcW w:w="3630" w:type="dxa"/>
            <w:tcBorders>
              <w:top w:val="single" w:sz="4" w:space="0" w:color="00000A"/>
              <w:left w:val="single" w:sz="4" w:space="0" w:color="00000A"/>
              <w:bottom w:val="single" w:sz="4" w:space="0" w:color="00000A"/>
              <w:insideH w:val="single" w:sz="4" w:space="0" w:color="00000A"/>
            </w:tcBorders>
            <w:shd w:fill="FFFFFF" w:val="clear"/>
            <w:tcMar>
              <w:left w:w="93" w:type="dxa"/>
            </w:tcMar>
          </w:tcPr>
          <w:p>
            <w:pPr>
              <w:pStyle w:val="Normal"/>
              <w:snapToGrid w:val="false"/>
              <w:spacing w:lineRule="auto" w:line="240" w:before="0" w:after="0"/>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Тетяна ЖУЖА</w:t>
            </w:r>
          </w:p>
        </w:tc>
        <w:tc>
          <w:tcPr>
            <w:tcW w:w="5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93" w:type="dxa"/>
            </w:tcMar>
          </w:tcPr>
          <w:p>
            <w:pPr>
              <w:pStyle w:val="Normal"/>
              <w:snapToGrid w:val="false"/>
              <w:spacing w:lineRule="auto" w:line="240" w:before="0" w:after="0"/>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 xml:space="preserve">староста сіл Роздольне та Вільна Україна </w:t>
            </w:r>
          </w:p>
        </w:tc>
      </w:tr>
      <w:tr>
        <w:trPr/>
        <w:tc>
          <w:tcPr>
            <w:tcW w:w="555" w:type="dxa"/>
            <w:tcBorders>
              <w:top w:val="single" w:sz="4" w:space="0" w:color="00000A"/>
              <w:left w:val="single" w:sz="4" w:space="0" w:color="00000A"/>
              <w:bottom w:val="single" w:sz="4" w:space="0" w:color="00000A"/>
              <w:insideH w:val="single" w:sz="4" w:space="0" w:color="00000A"/>
            </w:tcBorders>
            <w:shd w:fill="FFFFFF" w:val="clear"/>
            <w:tcMar>
              <w:left w:w="93" w:type="dxa"/>
            </w:tcMar>
          </w:tcPr>
          <w:p>
            <w:pPr>
              <w:pStyle w:val="Normal"/>
              <w:spacing w:lineRule="auto" w:line="240" w:before="0" w:after="0"/>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18</w:t>
            </w:r>
          </w:p>
        </w:tc>
        <w:tc>
          <w:tcPr>
            <w:tcW w:w="3630" w:type="dxa"/>
            <w:tcBorders>
              <w:top w:val="single" w:sz="4" w:space="0" w:color="00000A"/>
              <w:left w:val="single" w:sz="4" w:space="0" w:color="00000A"/>
              <w:bottom w:val="single" w:sz="4" w:space="0" w:color="00000A"/>
              <w:insideH w:val="single" w:sz="4" w:space="0" w:color="00000A"/>
            </w:tcBorders>
            <w:shd w:fill="FFFFFF" w:val="clear"/>
            <w:tcMar>
              <w:left w:w="93" w:type="dxa"/>
            </w:tcMar>
          </w:tcPr>
          <w:p>
            <w:pPr>
              <w:pStyle w:val="Normal"/>
              <w:snapToGrid w:val="false"/>
              <w:spacing w:lineRule="auto" w:line="240" w:before="0" w:after="0"/>
              <w:jc w:val="both"/>
              <w:rPr>
                <w:rFonts w:ascii="Times New Roman" w:hAnsi="Times New Roman" w:eastAsia="Times New Roman" w:cs="Liberation Serif;Times New Roman"/>
                <w:sz w:val="24"/>
                <w:szCs w:val="24"/>
                <w:lang w:val="uk-UA" w:eastAsia="ru-RU"/>
              </w:rPr>
            </w:pPr>
            <w:r>
              <w:rPr>
                <w:rFonts w:eastAsia="Times New Roman" w:cs="Liberation Serif;Times New Roman" w:ascii="Times New Roman" w:hAnsi="Times New Roman"/>
                <w:sz w:val="24"/>
                <w:szCs w:val="24"/>
                <w:lang w:val="uk-UA" w:eastAsia="ru-RU"/>
              </w:rPr>
              <w:t>Віктор ЗУБКОВ</w:t>
            </w:r>
          </w:p>
        </w:tc>
        <w:tc>
          <w:tcPr>
            <w:tcW w:w="5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93" w:type="dxa"/>
            </w:tcMar>
          </w:tcPr>
          <w:p>
            <w:pPr>
              <w:pStyle w:val="Normal"/>
              <w:snapToGrid w:val="false"/>
              <w:spacing w:lineRule="auto" w:line="240" w:before="0" w:after="0"/>
              <w:jc w:val="both"/>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 xml:space="preserve">депутат Каховської міської ради </w:t>
            </w:r>
          </w:p>
        </w:tc>
      </w:tr>
      <w:tr>
        <w:trPr/>
        <w:tc>
          <w:tcPr>
            <w:tcW w:w="555" w:type="dxa"/>
            <w:tcBorders>
              <w:top w:val="single" w:sz="4" w:space="0" w:color="00000A"/>
              <w:left w:val="single" w:sz="4" w:space="0" w:color="00000A"/>
              <w:bottom w:val="single" w:sz="4" w:space="0" w:color="00000A"/>
              <w:insideH w:val="single" w:sz="4" w:space="0" w:color="00000A"/>
            </w:tcBorders>
            <w:shd w:fill="FFFFFF" w:val="clear"/>
            <w:tcMar>
              <w:left w:w="93" w:type="dxa"/>
            </w:tcMar>
          </w:tcPr>
          <w:p>
            <w:pPr>
              <w:pStyle w:val="Normal"/>
              <w:spacing w:lineRule="auto" w:line="240" w:before="0" w:after="0"/>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19</w:t>
            </w:r>
          </w:p>
        </w:tc>
        <w:tc>
          <w:tcPr>
            <w:tcW w:w="3630" w:type="dxa"/>
            <w:tcBorders>
              <w:top w:val="single" w:sz="4" w:space="0" w:color="00000A"/>
              <w:left w:val="single" w:sz="4" w:space="0" w:color="00000A"/>
              <w:bottom w:val="single" w:sz="4" w:space="0" w:color="00000A"/>
              <w:insideH w:val="single" w:sz="4" w:space="0" w:color="00000A"/>
            </w:tcBorders>
            <w:shd w:fill="FFFFFF" w:val="clear"/>
            <w:tcMar>
              <w:left w:w="93" w:type="dxa"/>
            </w:tcMar>
          </w:tcPr>
          <w:p>
            <w:pPr>
              <w:pStyle w:val="Normal"/>
              <w:snapToGrid w:val="false"/>
              <w:spacing w:lineRule="auto" w:line="240" w:before="0" w:after="0"/>
              <w:jc w:val="both"/>
              <w:rPr>
                <w:rFonts w:ascii="Times New Roman" w:hAnsi="Times New Roman" w:eastAsia="Times New Roman" w:cs="Liberation Serif;Times New Roman"/>
                <w:color w:val="000000"/>
                <w:sz w:val="24"/>
                <w:szCs w:val="24"/>
                <w:lang w:val="uk-UA" w:eastAsia="ru-RU"/>
              </w:rPr>
            </w:pPr>
            <w:r>
              <w:rPr>
                <w:rFonts w:eastAsia="Times New Roman" w:cs="Liberation Serif;Times New Roman" w:ascii="Times New Roman" w:hAnsi="Times New Roman"/>
                <w:color w:val="000000"/>
                <w:sz w:val="24"/>
                <w:szCs w:val="24"/>
                <w:lang w:val="uk-UA" w:eastAsia="ru-RU"/>
              </w:rPr>
              <w:t>Ольга РАДІОНОВА</w:t>
            </w:r>
          </w:p>
        </w:tc>
        <w:tc>
          <w:tcPr>
            <w:tcW w:w="5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93" w:type="dxa"/>
            </w:tcMar>
          </w:tcPr>
          <w:p>
            <w:pPr>
              <w:pStyle w:val="Normal"/>
              <w:snapToGrid w:val="false"/>
              <w:spacing w:lineRule="auto" w:line="240" w:before="0" w:after="0"/>
              <w:jc w:val="both"/>
              <w:rPr>
                <w:rFonts w:ascii="Times New Roman" w:hAnsi="Times New Roman" w:eastAsia="Times New Roman" w:cs="Times New Roman"/>
                <w:color w:val="000000"/>
                <w:sz w:val="24"/>
                <w:szCs w:val="24"/>
                <w:lang w:val="uk-UA" w:eastAsia="ru-RU"/>
              </w:rPr>
            </w:pPr>
            <w:r>
              <w:rPr>
                <w:rFonts w:eastAsia="Times New Roman" w:cs="Times New Roman" w:ascii="Times New Roman" w:hAnsi="Times New Roman"/>
                <w:color w:val="000000"/>
                <w:sz w:val="24"/>
                <w:szCs w:val="24"/>
                <w:lang w:val="uk-UA" w:eastAsia="ru-RU"/>
              </w:rPr>
              <w:t xml:space="preserve">голова ГО “Молодіжна Організація “Нічна мана”, депутатка міської ради, член міської Ради з питань молодіжної політики </w:t>
            </w:r>
          </w:p>
        </w:tc>
      </w:tr>
      <w:tr>
        <w:trPr/>
        <w:tc>
          <w:tcPr>
            <w:tcW w:w="555" w:type="dxa"/>
            <w:tcBorders>
              <w:top w:val="single" w:sz="4" w:space="0" w:color="00000A"/>
              <w:left w:val="single" w:sz="4" w:space="0" w:color="00000A"/>
              <w:bottom w:val="single" w:sz="4" w:space="0" w:color="00000A"/>
              <w:insideH w:val="single" w:sz="4" w:space="0" w:color="00000A"/>
            </w:tcBorders>
            <w:shd w:fill="FFFFFF" w:val="clear"/>
            <w:tcMar>
              <w:left w:w="93" w:type="dxa"/>
            </w:tcMar>
          </w:tcPr>
          <w:p>
            <w:pPr>
              <w:pStyle w:val="Normal"/>
              <w:spacing w:lineRule="auto" w:line="240" w:before="0" w:after="0"/>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20</w:t>
            </w:r>
          </w:p>
        </w:tc>
        <w:tc>
          <w:tcPr>
            <w:tcW w:w="3630" w:type="dxa"/>
            <w:tcBorders>
              <w:top w:val="single" w:sz="4" w:space="0" w:color="00000A"/>
              <w:left w:val="single" w:sz="4" w:space="0" w:color="00000A"/>
              <w:bottom w:val="single" w:sz="4" w:space="0" w:color="00000A"/>
              <w:insideH w:val="single" w:sz="4" w:space="0" w:color="00000A"/>
            </w:tcBorders>
            <w:shd w:fill="FFFFFF" w:val="clear"/>
            <w:tcMar>
              <w:left w:w="93" w:type="dxa"/>
            </w:tcMar>
          </w:tcPr>
          <w:p>
            <w:pPr>
              <w:pStyle w:val="Normal"/>
              <w:snapToGrid w:val="false"/>
              <w:spacing w:lineRule="auto" w:line="240" w:before="0" w:after="0"/>
              <w:jc w:val="both"/>
              <w:rPr>
                <w:rFonts w:ascii="Times New Roman" w:hAnsi="Times New Roman" w:eastAsia="Times New Roman" w:cs="Liberation Serif;Times New Roman"/>
                <w:color w:val="000000"/>
                <w:sz w:val="24"/>
                <w:szCs w:val="24"/>
                <w:lang w:val="uk-UA" w:eastAsia="ru-RU"/>
              </w:rPr>
            </w:pPr>
            <w:r>
              <w:rPr>
                <w:rFonts w:eastAsia="Times New Roman" w:cs="Liberation Serif;Times New Roman" w:ascii="Times New Roman" w:hAnsi="Times New Roman"/>
                <w:color w:val="000000"/>
                <w:sz w:val="24"/>
                <w:szCs w:val="24"/>
                <w:lang w:val="uk-UA" w:eastAsia="ru-RU"/>
              </w:rPr>
              <w:t>Петро КОМЯГІН</w:t>
            </w:r>
          </w:p>
        </w:tc>
        <w:tc>
          <w:tcPr>
            <w:tcW w:w="5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93" w:type="dxa"/>
            </w:tcMar>
          </w:tcPr>
          <w:p>
            <w:pPr>
              <w:pStyle w:val="Normal"/>
              <w:snapToGrid w:val="false"/>
              <w:spacing w:lineRule="auto" w:line="240" w:before="0" w:after="0"/>
              <w:jc w:val="both"/>
              <w:rPr>
                <w:rFonts w:ascii="Times New Roman" w:hAnsi="Times New Roman" w:eastAsia="Times New Roman" w:cs="Times New Roman"/>
                <w:color w:val="000000"/>
                <w:sz w:val="24"/>
                <w:szCs w:val="24"/>
                <w:lang w:val="uk-UA" w:eastAsia="ru-RU"/>
              </w:rPr>
            </w:pPr>
            <w:r>
              <w:rPr>
                <w:rFonts w:eastAsia="Times New Roman" w:cs="Times New Roman" w:ascii="Times New Roman" w:hAnsi="Times New Roman"/>
                <w:color w:val="000000"/>
                <w:sz w:val="24"/>
                <w:szCs w:val="24"/>
                <w:lang w:val="uk-UA" w:eastAsia="ru-RU"/>
              </w:rPr>
              <w:t>депутат Каховської міської ради, підприємець</w:t>
            </w:r>
          </w:p>
        </w:tc>
      </w:tr>
      <w:tr>
        <w:trPr/>
        <w:tc>
          <w:tcPr>
            <w:tcW w:w="555" w:type="dxa"/>
            <w:tcBorders>
              <w:top w:val="single" w:sz="4" w:space="0" w:color="00000A"/>
              <w:left w:val="single" w:sz="4" w:space="0" w:color="00000A"/>
              <w:bottom w:val="single" w:sz="4" w:space="0" w:color="00000A"/>
              <w:insideH w:val="single" w:sz="4" w:space="0" w:color="00000A"/>
            </w:tcBorders>
            <w:shd w:fill="FFFFFF" w:val="clear"/>
            <w:tcMar>
              <w:left w:w="93" w:type="dxa"/>
            </w:tcMar>
          </w:tcPr>
          <w:p>
            <w:pPr>
              <w:pStyle w:val="Normal"/>
              <w:spacing w:lineRule="auto" w:line="240" w:before="0" w:after="0"/>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21</w:t>
            </w:r>
          </w:p>
        </w:tc>
        <w:tc>
          <w:tcPr>
            <w:tcW w:w="3630" w:type="dxa"/>
            <w:tcBorders>
              <w:top w:val="single" w:sz="4" w:space="0" w:color="00000A"/>
              <w:left w:val="single" w:sz="4" w:space="0" w:color="00000A"/>
              <w:bottom w:val="single" w:sz="4" w:space="0" w:color="00000A"/>
              <w:insideH w:val="single" w:sz="4" w:space="0" w:color="00000A"/>
            </w:tcBorders>
            <w:shd w:fill="FFFFFF" w:val="clear"/>
            <w:tcMar>
              <w:left w:w="93" w:type="dxa"/>
            </w:tcMar>
          </w:tcPr>
          <w:p>
            <w:pPr>
              <w:pStyle w:val="Normal"/>
              <w:snapToGrid w:val="false"/>
              <w:spacing w:lineRule="auto" w:line="240" w:before="0" w:after="0"/>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Інна МАТРОСОВА</w:t>
            </w:r>
          </w:p>
        </w:tc>
        <w:tc>
          <w:tcPr>
            <w:tcW w:w="5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93" w:type="dxa"/>
            </w:tcMar>
          </w:tcPr>
          <w:p>
            <w:pPr>
              <w:pStyle w:val="Normal"/>
              <w:snapToGrid w:val="false"/>
              <w:spacing w:lineRule="auto" w:line="240" w:before="0" w:after="0"/>
              <w:rPr>
                <w:rFonts w:ascii="Times New Roman" w:hAnsi="Times New Roman" w:eastAsia="Times New Roman" w:cs="Times New Roman"/>
                <w:color w:val="000000"/>
                <w:sz w:val="24"/>
                <w:szCs w:val="24"/>
                <w:lang w:val="uk-UA" w:eastAsia="ru-RU"/>
              </w:rPr>
            </w:pPr>
            <w:r>
              <w:rPr>
                <w:rFonts w:eastAsia="Times New Roman" w:cs="Times New Roman" w:ascii="Times New Roman" w:hAnsi="Times New Roman"/>
                <w:color w:val="000000"/>
                <w:sz w:val="24"/>
                <w:szCs w:val="24"/>
                <w:lang w:val="uk-UA" w:eastAsia="ru-RU"/>
              </w:rPr>
              <w:t>директорка Каховського міського культурно-методичного закладу( РБК ім.”Фрунзе”)</w:t>
            </w:r>
          </w:p>
        </w:tc>
      </w:tr>
      <w:tr>
        <w:trPr>
          <w:trHeight w:val="360" w:hRule="atLeast"/>
        </w:trPr>
        <w:tc>
          <w:tcPr>
            <w:tcW w:w="555" w:type="dxa"/>
            <w:tcBorders>
              <w:top w:val="single" w:sz="4" w:space="0" w:color="00000A"/>
              <w:left w:val="single" w:sz="4" w:space="0" w:color="00000A"/>
              <w:bottom w:val="single" w:sz="4" w:space="0" w:color="00000A"/>
              <w:insideH w:val="single" w:sz="4" w:space="0" w:color="00000A"/>
            </w:tcBorders>
            <w:shd w:fill="FFFFFF" w:val="clear"/>
            <w:tcMar>
              <w:left w:w="93" w:type="dxa"/>
            </w:tcMar>
          </w:tcPr>
          <w:p>
            <w:pPr>
              <w:pStyle w:val="Normal"/>
              <w:spacing w:lineRule="auto" w:line="240" w:before="0" w:after="0"/>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22</w:t>
            </w:r>
          </w:p>
        </w:tc>
        <w:tc>
          <w:tcPr>
            <w:tcW w:w="3630" w:type="dxa"/>
            <w:tcBorders>
              <w:top w:val="single" w:sz="4" w:space="0" w:color="00000A"/>
              <w:left w:val="single" w:sz="4" w:space="0" w:color="00000A"/>
              <w:bottom w:val="single" w:sz="4" w:space="0" w:color="00000A"/>
              <w:insideH w:val="single" w:sz="4" w:space="0" w:color="00000A"/>
            </w:tcBorders>
            <w:shd w:fill="FFFFFF" w:val="clear"/>
            <w:tcMar>
              <w:left w:w="93" w:type="dxa"/>
            </w:tcMar>
          </w:tcPr>
          <w:p>
            <w:pPr>
              <w:pStyle w:val="Style32"/>
              <w:numPr>
                <w:ilvl w:val="0"/>
                <w:numId w:val="21"/>
              </w:numPr>
              <w:snapToGrid w:val="false"/>
              <w:spacing w:lineRule="auto" w:line="240" w:before="0" w:after="0"/>
              <w:jc w:val="left"/>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Юрій СКЛЯР</w:t>
            </w:r>
          </w:p>
        </w:tc>
        <w:tc>
          <w:tcPr>
            <w:tcW w:w="5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93" w:type="dxa"/>
            </w:tcMar>
          </w:tcPr>
          <w:p>
            <w:pPr>
              <w:pStyle w:val="Normal"/>
              <w:tabs>
                <w:tab w:val="left" w:pos="284" w:leader="none"/>
                <w:tab w:val="left" w:pos="426" w:leader="none"/>
              </w:tabs>
              <w:snapToGrid w:val="false"/>
              <w:spacing w:lineRule="auto" w:line="240" w:before="0" w:after="0"/>
              <w:jc w:val="both"/>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голова Громадської організації “Каховська відкрита ліга гумору”</w:t>
            </w:r>
          </w:p>
        </w:tc>
      </w:tr>
      <w:tr>
        <w:trPr/>
        <w:tc>
          <w:tcPr>
            <w:tcW w:w="555" w:type="dxa"/>
            <w:tcBorders>
              <w:top w:val="single" w:sz="4" w:space="0" w:color="00000A"/>
              <w:left w:val="single" w:sz="4" w:space="0" w:color="00000A"/>
              <w:bottom w:val="single" w:sz="4" w:space="0" w:color="00000A"/>
              <w:insideH w:val="single" w:sz="4" w:space="0" w:color="00000A"/>
            </w:tcBorders>
            <w:shd w:fill="FFFFFF" w:val="clear"/>
            <w:tcMar>
              <w:left w:w="93" w:type="dxa"/>
            </w:tcMar>
          </w:tcPr>
          <w:p>
            <w:pPr>
              <w:pStyle w:val="Normal"/>
              <w:spacing w:lineRule="auto" w:line="240" w:before="0" w:after="0"/>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23</w:t>
            </w:r>
          </w:p>
        </w:tc>
        <w:tc>
          <w:tcPr>
            <w:tcW w:w="3630" w:type="dxa"/>
            <w:tcBorders>
              <w:top w:val="single" w:sz="4" w:space="0" w:color="00000A"/>
              <w:left w:val="single" w:sz="4" w:space="0" w:color="00000A"/>
              <w:bottom w:val="single" w:sz="4" w:space="0" w:color="00000A"/>
              <w:insideH w:val="single" w:sz="4" w:space="0" w:color="00000A"/>
            </w:tcBorders>
            <w:shd w:fill="FFFFFF" w:val="clear"/>
            <w:tcMar>
              <w:left w:w="93" w:type="dxa"/>
            </w:tcMar>
          </w:tcPr>
          <w:p>
            <w:pPr>
              <w:pStyle w:val="Normal"/>
              <w:snapToGrid w:val="false"/>
              <w:spacing w:lineRule="auto" w:line="240" w:before="0" w:after="0"/>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Сергій МАКОГОН</w:t>
            </w:r>
          </w:p>
        </w:tc>
        <w:tc>
          <w:tcPr>
            <w:tcW w:w="5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93" w:type="dxa"/>
            </w:tcMar>
          </w:tcPr>
          <w:p>
            <w:pPr>
              <w:pStyle w:val="Normal"/>
              <w:snapToGrid w:val="false"/>
              <w:spacing w:lineRule="auto" w:line="240" w:before="0" w:after="0"/>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журналіст-редактор відділу міського господарства газети “Каховська зоря”</w:t>
            </w:r>
          </w:p>
        </w:tc>
      </w:tr>
      <w:tr>
        <w:trPr/>
        <w:tc>
          <w:tcPr>
            <w:tcW w:w="555" w:type="dxa"/>
            <w:tcBorders>
              <w:top w:val="single" w:sz="4" w:space="0" w:color="00000A"/>
              <w:left w:val="single" w:sz="4" w:space="0" w:color="00000A"/>
              <w:bottom w:val="single" w:sz="4" w:space="0" w:color="00000A"/>
              <w:insideH w:val="single" w:sz="4" w:space="0" w:color="00000A"/>
            </w:tcBorders>
            <w:shd w:fill="FFFFFF" w:val="clear"/>
            <w:tcMar>
              <w:left w:w="93" w:type="dxa"/>
            </w:tcMar>
          </w:tcPr>
          <w:p>
            <w:pPr>
              <w:pStyle w:val="Normal"/>
              <w:spacing w:lineRule="auto" w:line="240" w:before="0" w:after="0"/>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24</w:t>
            </w:r>
          </w:p>
        </w:tc>
        <w:tc>
          <w:tcPr>
            <w:tcW w:w="3630" w:type="dxa"/>
            <w:tcBorders>
              <w:top w:val="single" w:sz="4" w:space="0" w:color="00000A"/>
              <w:left w:val="single" w:sz="4" w:space="0" w:color="00000A"/>
              <w:bottom w:val="single" w:sz="4" w:space="0" w:color="00000A"/>
              <w:insideH w:val="single" w:sz="4" w:space="0" w:color="00000A"/>
            </w:tcBorders>
            <w:shd w:fill="FFFFFF" w:val="clear"/>
            <w:tcMar>
              <w:left w:w="93" w:type="dxa"/>
            </w:tcMar>
          </w:tcPr>
          <w:p>
            <w:pPr>
              <w:pStyle w:val="Normal"/>
              <w:snapToGrid w:val="false"/>
              <w:spacing w:lineRule="auto" w:line="240" w:before="0" w:after="0"/>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Оксана РАДЧЕНКО</w:t>
            </w:r>
          </w:p>
        </w:tc>
        <w:tc>
          <w:tcPr>
            <w:tcW w:w="5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93" w:type="dxa"/>
            </w:tcMar>
          </w:tcPr>
          <w:p>
            <w:pPr>
              <w:pStyle w:val="Normal"/>
              <w:snapToGrid w:val="false"/>
              <w:spacing w:lineRule="auto" w:line="240" w:before="0" w:after="0"/>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директорка Каховського міськрайонного центру зайнятості</w:t>
            </w:r>
          </w:p>
        </w:tc>
      </w:tr>
      <w:tr>
        <w:trPr/>
        <w:tc>
          <w:tcPr>
            <w:tcW w:w="555" w:type="dxa"/>
            <w:tcBorders>
              <w:top w:val="single" w:sz="4" w:space="0" w:color="00000A"/>
              <w:left w:val="single" w:sz="4" w:space="0" w:color="00000A"/>
              <w:bottom w:val="single" w:sz="4" w:space="0" w:color="00000A"/>
              <w:insideH w:val="single" w:sz="4" w:space="0" w:color="00000A"/>
            </w:tcBorders>
            <w:shd w:fill="FFFFFF" w:val="clear"/>
            <w:tcMar>
              <w:left w:w="93" w:type="dxa"/>
            </w:tcMar>
          </w:tcPr>
          <w:p>
            <w:pPr>
              <w:pStyle w:val="Normal"/>
              <w:spacing w:lineRule="auto" w:line="240" w:before="0" w:after="0"/>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25</w:t>
            </w:r>
          </w:p>
        </w:tc>
        <w:tc>
          <w:tcPr>
            <w:tcW w:w="3630" w:type="dxa"/>
            <w:tcBorders>
              <w:top w:val="single" w:sz="4" w:space="0" w:color="00000A"/>
              <w:left w:val="single" w:sz="4" w:space="0" w:color="00000A"/>
              <w:bottom w:val="single" w:sz="4" w:space="0" w:color="00000A"/>
              <w:insideH w:val="single" w:sz="4" w:space="0" w:color="00000A"/>
            </w:tcBorders>
            <w:shd w:fill="FFFFFF" w:val="clear"/>
            <w:tcMar>
              <w:left w:w="93" w:type="dxa"/>
            </w:tcMar>
          </w:tcPr>
          <w:p>
            <w:pPr>
              <w:pStyle w:val="Normal"/>
              <w:snapToGrid w:val="false"/>
              <w:spacing w:lineRule="auto" w:line="240" w:before="0" w:after="0"/>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Олена АМЄЛІНА</w:t>
            </w:r>
          </w:p>
        </w:tc>
        <w:tc>
          <w:tcPr>
            <w:tcW w:w="5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93" w:type="dxa"/>
            </w:tcMar>
          </w:tcPr>
          <w:p>
            <w:pPr>
              <w:pStyle w:val="Normal"/>
              <w:snapToGrid w:val="false"/>
              <w:spacing w:lineRule="auto" w:line="240" w:before="0" w:after="0"/>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директорка Каховської гімназії</w:t>
            </w:r>
          </w:p>
        </w:tc>
      </w:tr>
      <w:tr>
        <w:trPr/>
        <w:tc>
          <w:tcPr>
            <w:tcW w:w="555" w:type="dxa"/>
            <w:tcBorders>
              <w:top w:val="single" w:sz="4" w:space="0" w:color="00000A"/>
              <w:left w:val="single" w:sz="4" w:space="0" w:color="00000A"/>
              <w:bottom w:val="single" w:sz="4" w:space="0" w:color="00000A"/>
              <w:insideH w:val="single" w:sz="4" w:space="0" w:color="00000A"/>
            </w:tcBorders>
            <w:shd w:fill="FFFFFF" w:val="clear"/>
            <w:tcMar>
              <w:left w:w="93" w:type="dxa"/>
            </w:tcMar>
          </w:tcPr>
          <w:p>
            <w:pPr>
              <w:pStyle w:val="Normal"/>
              <w:spacing w:lineRule="auto" w:line="240" w:before="0" w:after="0"/>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26</w:t>
            </w:r>
          </w:p>
        </w:tc>
        <w:tc>
          <w:tcPr>
            <w:tcW w:w="3630" w:type="dxa"/>
            <w:tcBorders>
              <w:top w:val="single" w:sz="4" w:space="0" w:color="00000A"/>
              <w:left w:val="single" w:sz="4" w:space="0" w:color="00000A"/>
              <w:bottom w:val="single" w:sz="4" w:space="0" w:color="00000A"/>
              <w:insideH w:val="single" w:sz="4" w:space="0" w:color="00000A"/>
            </w:tcBorders>
            <w:shd w:fill="FFFFFF" w:val="clear"/>
            <w:tcMar>
              <w:left w:w="93" w:type="dxa"/>
            </w:tcMar>
          </w:tcPr>
          <w:p>
            <w:pPr>
              <w:pStyle w:val="Normal"/>
              <w:snapToGrid w:val="false"/>
              <w:spacing w:lineRule="auto" w:line="240" w:before="0" w:after="0"/>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Марина КУДІНОВА</w:t>
            </w:r>
          </w:p>
        </w:tc>
        <w:tc>
          <w:tcPr>
            <w:tcW w:w="5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93" w:type="dxa"/>
            </w:tcMar>
          </w:tcPr>
          <w:p>
            <w:pPr>
              <w:pStyle w:val="Normal"/>
              <w:snapToGrid w:val="false"/>
              <w:spacing w:lineRule="auto" w:line="240" w:before="0" w:after="0"/>
              <w:rPr>
                <w:rFonts w:ascii="Times New Roman" w:hAnsi="Times New Roman" w:eastAsia="Times New Roman" w:cs="Times New Roman"/>
                <w:sz w:val="24"/>
                <w:szCs w:val="24"/>
                <w:lang w:val="uk-UA" w:eastAsia="ru-RU"/>
              </w:rPr>
            </w:pPr>
            <w:r>
              <w:rPr>
                <w:rFonts w:eastAsia="Times New Roman" w:cs="Times New Roman" w:ascii="Times New Roman" w:hAnsi="Times New Roman"/>
                <w:sz w:val="24"/>
                <w:szCs w:val="24"/>
                <w:lang w:val="uk-UA" w:eastAsia="ru-RU"/>
              </w:rPr>
              <w:t>директорка комунального підприємства “Каховська керуюча компанія”</w:t>
            </w:r>
          </w:p>
        </w:tc>
      </w:tr>
    </w:tbl>
    <w:p>
      <w:pPr>
        <w:pStyle w:val="Normal"/>
        <w:spacing w:lineRule="auto" w:line="240" w:before="0" w:after="0"/>
        <w:jc w:val="both"/>
        <w:rPr>
          <w:rFonts w:ascii="Times New Roman" w:hAnsi="Times New Roman" w:eastAsia="Times New Roman" w:cs="Times New Roman"/>
          <w:b/>
          <w:b/>
          <w:bCs/>
          <w:sz w:val="24"/>
          <w:szCs w:val="24"/>
          <w:lang w:val="uk-UA" w:eastAsia="ru-RU"/>
        </w:rPr>
      </w:pPr>
      <w:r>
        <w:rPr>
          <w:rFonts w:eastAsia="Times New Roman" w:cs="Times New Roman" w:ascii="Times New Roman" w:hAnsi="Times New Roman"/>
          <w:b/>
          <w:bCs/>
          <w:sz w:val="24"/>
          <w:szCs w:val="24"/>
          <w:lang w:val="uk-UA" w:eastAsia="ru-RU"/>
        </w:rPr>
      </w:r>
    </w:p>
    <w:p>
      <w:pPr>
        <w:pStyle w:val="Normal"/>
        <w:spacing w:lineRule="auto" w:line="240" w:before="0" w:after="0"/>
        <w:ind w:firstLine="709"/>
        <w:jc w:val="both"/>
        <w:rPr>
          <w:rFonts w:ascii="Times New Roman" w:hAnsi="Times New Roman" w:eastAsia="Calibri" w:cs="Times New Roman"/>
          <w:sz w:val="24"/>
          <w:szCs w:val="24"/>
        </w:rPr>
      </w:pPr>
      <w:r>
        <w:rPr>
          <w:rFonts w:eastAsia="Calibri" w:cs="Times New Roman" w:ascii="Times New Roman" w:hAnsi="Times New Roman"/>
          <w:b/>
          <w:bCs/>
          <w:sz w:val="24"/>
          <w:szCs w:val="24"/>
        </w:rPr>
        <w:t xml:space="preserve">13 лютого 2021 року </w:t>
      </w:r>
      <w:r>
        <w:rPr>
          <w:rFonts w:eastAsia="Calibri" w:cs="Times New Roman" w:ascii="Times New Roman" w:hAnsi="Times New Roman"/>
          <w:sz w:val="24"/>
          <w:szCs w:val="24"/>
        </w:rPr>
        <w:t>пройшло перше засідання Робочої групи, під час якого було розглянуто основні засади процесу стратегічного планування, ухвалено план діяльності Робочої групи та досягнуто домовленості про підготовку соціально-економічної інформації і проведення опитування. У зв’язку з введенням карантинних обмежень, робота засідання проходила у дистанційному форматі.</w:t>
      </w:r>
    </w:p>
    <w:p>
      <w:pPr>
        <w:pStyle w:val="Normal"/>
        <w:spacing w:lineRule="auto" w:line="240" w:before="0" w:after="0"/>
        <w:ind w:firstLine="709"/>
        <w:jc w:val="both"/>
        <w:rPr>
          <w:rFonts w:ascii="Times New Roman" w:hAnsi="Times New Roman" w:eastAsia="Calibri" w:cs="Times New Roman"/>
          <w:sz w:val="24"/>
          <w:szCs w:val="24"/>
          <w:lang w:val="ru-RU"/>
        </w:rPr>
      </w:pPr>
      <w:r>
        <w:rPr>
          <w:rFonts w:eastAsia="Calibri" w:cs="Times New Roman" w:ascii="Times New Roman" w:hAnsi="Times New Roman"/>
          <w:sz w:val="24"/>
          <w:szCs w:val="24"/>
        </w:rPr>
        <w:t>Соціально-економічна інформація збиралась за системою показників, які характеризують стан розвитку територіальної громади та населених пунктів, що входять до її складу</w:t>
      </w:r>
      <w:r>
        <w:rPr>
          <w:rFonts w:eastAsia="Calibri" w:cs="Times New Roman" w:ascii="Times New Roman" w:hAnsi="Times New Roman"/>
          <w:sz w:val="24"/>
          <w:szCs w:val="24"/>
          <w:lang w:val="ru-RU"/>
        </w:rPr>
        <w:t>.</w:t>
      </w:r>
    </w:p>
    <w:p>
      <w:pPr>
        <w:pStyle w:val="Normal"/>
        <w:spacing w:lineRule="auto" w:line="240" w:before="0" w:after="120"/>
        <w:ind w:firstLine="708"/>
        <w:jc w:val="both"/>
        <w:rPr>
          <w:rFonts w:ascii="Times New Roman" w:hAnsi="Times New Roman" w:eastAsia="Calibri" w:cs="Times New Roman"/>
          <w:sz w:val="24"/>
          <w:szCs w:val="24"/>
        </w:rPr>
      </w:pPr>
      <w:r>
        <w:rPr>
          <w:rFonts w:eastAsia="Calibri" w:cs="Times New Roman" w:ascii="Times New Roman" w:hAnsi="Times New Roman"/>
          <w:sz w:val="24"/>
          <w:szCs w:val="24"/>
        </w:rPr>
        <w:t>Опитування мешканців та підприємців здійснювались за анкетами, які поширювались у паперовому вигляді та в онлайн-форматі. Респондентами стали 417 мешканці та окремо 65 представників молоді. Крім того, з метою детальнішого вивчення громадської думки молоді, у лютому 2021 учням старших класів було запропоновано написати творчу роботу «Моя громада сьогодні та завтра». До обробки надійшли 605 робіт з усіх 11 шкіл громади.</w:t>
      </w:r>
    </w:p>
    <w:p>
      <w:pPr>
        <w:pStyle w:val="Normal"/>
        <w:spacing w:lineRule="auto" w:line="240" w:before="0" w:after="0"/>
        <w:ind w:firstLine="709"/>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Проведена робота дала можливість підготувати соціально-економічний аналіз Каховської громади та аналітичну частину проєкту Стратегії. </w:t>
      </w:r>
    </w:p>
    <w:p>
      <w:pPr>
        <w:pStyle w:val="Normal"/>
        <w:spacing w:lineRule="auto" w:line="240" w:before="0" w:after="0"/>
        <w:jc w:val="both"/>
        <w:rPr>
          <w:rFonts w:ascii="Times New Roman" w:hAnsi="Times New Roman" w:eastAsia="Calibri" w:cs="Times New Roman"/>
          <w:b/>
          <w:b/>
          <w:sz w:val="24"/>
          <w:szCs w:val="24"/>
        </w:rPr>
      </w:pPr>
      <w:r>
        <w:rPr>
          <w:rFonts w:eastAsia="Calibri" w:cs="Times New Roman" w:ascii="Times New Roman" w:hAnsi="Times New Roman"/>
          <w:b/>
          <w:sz w:val="24"/>
          <w:szCs w:val="24"/>
        </w:rPr>
      </w:r>
    </w:p>
    <w:p>
      <w:pPr>
        <w:pStyle w:val="Normal"/>
        <w:spacing w:lineRule="auto" w:line="240" w:before="0" w:after="0"/>
        <w:ind w:firstLine="709"/>
        <w:jc w:val="both"/>
        <w:rPr>
          <w:rFonts w:ascii="Times New Roman" w:hAnsi="Times New Roman" w:eastAsia="Calibri" w:cs="Times New Roman"/>
          <w:sz w:val="24"/>
          <w:szCs w:val="24"/>
        </w:rPr>
      </w:pPr>
      <w:r>
        <w:rPr>
          <w:rFonts w:eastAsia="Calibri" w:cs="Times New Roman" w:ascii="Times New Roman" w:hAnsi="Times New Roman"/>
          <w:b/>
          <w:sz w:val="24"/>
          <w:szCs w:val="24"/>
        </w:rPr>
        <w:t>15 квітня 2021 року</w:t>
      </w:r>
      <w:r>
        <w:rPr>
          <w:rFonts w:eastAsia="Calibri" w:cs="Times New Roman" w:ascii="Times New Roman" w:hAnsi="Times New Roman"/>
          <w:sz w:val="24"/>
          <w:szCs w:val="24"/>
        </w:rPr>
        <w:t xml:space="preserve"> пройшло</w:t>
      </w:r>
      <w:r>
        <w:rPr>
          <w:rFonts w:eastAsia="Calibri" w:cs="Times New Roman" w:ascii="Times New Roman" w:hAnsi="Times New Roman"/>
          <w:b/>
          <w:bCs/>
          <w:sz w:val="24"/>
          <w:szCs w:val="24"/>
        </w:rPr>
        <w:t xml:space="preserve"> друге засідання </w:t>
      </w:r>
      <w:r>
        <w:rPr>
          <w:rFonts w:eastAsia="Calibri" w:cs="Times New Roman" w:ascii="Times New Roman" w:hAnsi="Times New Roman"/>
          <w:sz w:val="24"/>
          <w:szCs w:val="24"/>
        </w:rPr>
        <w:t>Робочої групи, під час якого були презентовані:</w:t>
      </w:r>
    </w:p>
    <w:p>
      <w:pPr>
        <w:pStyle w:val="Normal"/>
        <w:numPr>
          <w:ilvl w:val="0"/>
          <w:numId w:val="1"/>
        </w:numPr>
        <w:spacing w:lineRule="auto" w:line="240" w:before="0" w:after="0"/>
        <w:ind w:left="426" w:hanging="284"/>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результати соціально-економічного аналізу Каховської громади, </w:t>
      </w:r>
    </w:p>
    <w:p>
      <w:pPr>
        <w:pStyle w:val="Normal"/>
        <w:numPr>
          <w:ilvl w:val="0"/>
          <w:numId w:val="1"/>
        </w:numPr>
        <w:spacing w:lineRule="auto" w:line="240" w:before="0" w:after="0"/>
        <w:ind w:left="426" w:hanging="284"/>
        <w:jc w:val="both"/>
        <w:rPr>
          <w:rFonts w:ascii="Times New Roman" w:hAnsi="Times New Roman" w:eastAsia="Calibri" w:cs="Times New Roman"/>
          <w:sz w:val="24"/>
          <w:szCs w:val="24"/>
        </w:rPr>
      </w:pPr>
      <w:r>
        <w:rPr>
          <w:rFonts w:eastAsia="Calibri" w:cs="Times New Roman" w:ascii="Times New Roman" w:hAnsi="Times New Roman"/>
          <w:sz w:val="24"/>
          <w:szCs w:val="24"/>
        </w:rPr>
        <w:t>результати опитування мешканців,</w:t>
      </w:r>
    </w:p>
    <w:p>
      <w:pPr>
        <w:pStyle w:val="Normal"/>
        <w:numPr>
          <w:ilvl w:val="0"/>
          <w:numId w:val="1"/>
        </w:numPr>
        <w:spacing w:lineRule="auto" w:line="240" w:before="0" w:after="0"/>
        <w:ind w:left="426" w:hanging="284"/>
        <w:jc w:val="both"/>
        <w:rPr>
          <w:rFonts w:ascii="Times New Roman" w:hAnsi="Times New Roman" w:eastAsia="Calibri" w:cs="Times New Roman"/>
          <w:sz w:val="24"/>
          <w:szCs w:val="24"/>
        </w:rPr>
      </w:pPr>
      <w:r>
        <w:rPr>
          <w:rFonts w:eastAsia="Calibri" w:cs="Times New Roman" w:ascii="Times New Roman" w:hAnsi="Times New Roman"/>
          <w:sz w:val="24"/>
          <w:szCs w:val="24"/>
        </w:rPr>
        <w:t>результати обробки творчих робіт старшокласників.</w:t>
      </w:r>
    </w:p>
    <w:p>
      <w:pPr>
        <w:pStyle w:val="Normal"/>
        <w:spacing w:lineRule="auto" w:line="240" w:before="0" w:after="0"/>
        <w:ind w:firstLine="708"/>
        <w:jc w:val="both"/>
        <w:rPr>
          <w:rFonts w:ascii="Times New Roman" w:hAnsi="Times New Roman" w:eastAsia="Calibri" w:cs="Times New Roman"/>
          <w:sz w:val="24"/>
          <w:szCs w:val="24"/>
        </w:rPr>
      </w:pPr>
      <w:r>
        <w:rPr>
          <w:rFonts w:eastAsia="Calibri" w:cs="Times New Roman" w:ascii="Times New Roman" w:hAnsi="Times New Roman"/>
          <w:sz w:val="24"/>
          <w:szCs w:val="24"/>
        </w:rPr>
        <w:t>На підставі зазначених аналітичних матеріалів члени робочої групи обговорили прогнози та сценарії розвитку громади, а також були проведені:</w:t>
      </w:r>
    </w:p>
    <w:p>
      <w:pPr>
        <w:pStyle w:val="Normal"/>
        <w:numPr>
          <w:ilvl w:val="0"/>
          <w:numId w:val="1"/>
        </w:numPr>
        <w:spacing w:lineRule="auto" w:line="240" w:before="0" w:after="0"/>
        <w:ind w:left="426" w:hanging="284"/>
        <w:jc w:val="both"/>
        <w:rPr>
          <w:rFonts w:ascii="Times New Roman" w:hAnsi="Times New Roman" w:eastAsia="Calibri" w:cs="Times New Roman"/>
          <w:sz w:val="24"/>
          <w:szCs w:val="24"/>
        </w:rPr>
      </w:pPr>
      <w:r>
        <w:rPr>
          <w:rFonts w:eastAsia="Calibri" w:cs="Times New Roman" w:ascii="Times New Roman" w:hAnsi="Times New Roman"/>
          <w:sz w:val="24"/>
          <w:szCs w:val="24"/>
        </w:rPr>
        <w:t>формулювання стратегічного бачення,</w:t>
      </w:r>
    </w:p>
    <w:p>
      <w:pPr>
        <w:pStyle w:val="Normal"/>
        <w:numPr>
          <w:ilvl w:val="0"/>
          <w:numId w:val="1"/>
        </w:numPr>
        <w:spacing w:lineRule="auto" w:line="240" w:before="0" w:after="0"/>
        <w:ind w:left="426" w:hanging="284"/>
        <w:jc w:val="both"/>
        <w:rPr>
          <w:rFonts w:ascii="Times New Roman" w:hAnsi="Times New Roman" w:eastAsia="Calibri" w:cs="Times New Roman"/>
          <w:sz w:val="24"/>
          <w:szCs w:val="24"/>
        </w:rPr>
      </w:pPr>
      <w:r>
        <w:rPr>
          <w:rFonts w:eastAsia="Calibri" w:cs="Times New Roman" w:ascii="Times New Roman" w:hAnsi="Times New Roman"/>
          <w:sz w:val="24"/>
          <w:szCs w:val="24"/>
        </w:rPr>
        <w:t>проведення SWOT-аналізу – ідентифікація факторів SWOT.</w:t>
      </w:r>
    </w:p>
    <w:p>
      <w:pPr>
        <w:pStyle w:val="Normal"/>
        <w:spacing w:lineRule="auto" w:line="240" w:before="0" w:after="0"/>
        <w:ind w:firstLine="708"/>
        <w:jc w:val="both"/>
        <w:rPr>
          <w:rFonts w:ascii="Times New Roman" w:hAnsi="Times New Roman" w:eastAsia="Calibri" w:cs="Times New Roman"/>
          <w:sz w:val="24"/>
          <w:szCs w:val="24"/>
        </w:rPr>
      </w:pPr>
      <w:r>
        <w:rPr>
          <w:rFonts w:eastAsia="Calibri" w:cs="Times New Roman" w:ascii="Times New Roman" w:hAnsi="Times New Roman"/>
          <w:sz w:val="24"/>
          <w:szCs w:val="24"/>
        </w:rPr>
        <w:t>Враховуючи ці напрацювання, Робоча група розробила проект SWOT-матриці – проведений аналіз взаємозв’язків факторів SWOT через матрицю SWOT/TOWS та підготовлені базові аналітичні висновки щодо ключових проблем Каховської громади, порівняльних переваг, викликів та ризиків для її розвитку.</w:t>
      </w:r>
    </w:p>
    <w:p>
      <w:pPr>
        <w:pStyle w:val="Normal"/>
        <w:spacing w:lineRule="auto" w:line="240" w:before="0" w:after="0"/>
        <w:jc w:val="both"/>
        <w:rPr>
          <w:rFonts w:ascii="Times New Roman" w:hAnsi="Times New Roman" w:eastAsia="Calibri" w:cs="Times New Roman"/>
          <w:b/>
          <w:b/>
          <w:sz w:val="24"/>
          <w:szCs w:val="24"/>
        </w:rPr>
      </w:pPr>
      <w:bookmarkStart w:id="13" w:name="_Hlk43444276"/>
      <w:bookmarkStart w:id="14" w:name="_Hlk43444276"/>
      <w:bookmarkEnd w:id="14"/>
      <w:r>
        <w:rPr>
          <w:rFonts w:eastAsia="Calibri" w:cs="Times New Roman" w:ascii="Times New Roman" w:hAnsi="Times New Roman"/>
          <w:b/>
          <w:sz w:val="24"/>
          <w:szCs w:val="24"/>
        </w:rPr>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 xml:space="preserve">Під час </w:t>
      </w:r>
      <w:r>
        <w:rPr>
          <w:rFonts w:cs="Times New Roman" w:ascii="Times New Roman" w:hAnsi="Times New Roman"/>
          <w:b/>
          <w:sz w:val="24"/>
          <w:szCs w:val="24"/>
        </w:rPr>
        <w:t>третього</w:t>
      </w:r>
      <w:r>
        <w:rPr>
          <w:rFonts w:cs="Times New Roman" w:ascii="Times New Roman" w:hAnsi="Times New Roman"/>
          <w:sz w:val="24"/>
          <w:szCs w:val="24"/>
        </w:rPr>
        <w:t xml:space="preserve"> </w:t>
      </w:r>
      <w:r>
        <w:rPr>
          <w:rFonts w:cs="Times New Roman" w:ascii="Times New Roman" w:hAnsi="Times New Roman"/>
          <w:b/>
          <w:bCs/>
          <w:sz w:val="24"/>
          <w:szCs w:val="24"/>
        </w:rPr>
        <w:t>засідання</w:t>
      </w:r>
      <w:r>
        <w:rPr>
          <w:rFonts w:cs="Times New Roman" w:ascii="Times New Roman" w:hAnsi="Times New Roman"/>
          <w:sz w:val="24"/>
          <w:szCs w:val="24"/>
        </w:rPr>
        <w:t xml:space="preserve"> Робочої групи, яке відбулось </w:t>
      </w:r>
      <w:r>
        <w:rPr>
          <w:rFonts w:cs="Times New Roman" w:ascii="Times New Roman" w:hAnsi="Times New Roman"/>
          <w:b/>
          <w:bCs/>
          <w:sz w:val="24"/>
          <w:szCs w:val="24"/>
        </w:rPr>
        <w:t xml:space="preserve">1 липня </w:t>
      </w:r>
      <w:r>
        <w:rPr>
          <w:rFonts w:cs="Times New Roman" w:ascii="Times New Roman" w:hAnsi="Times New Roman"/>
          <w:b/>
          <w:sz w:val="24"/>
          <w:szCs w:val="24"/>
        </w:rPr>
        <w:t>2021 року,</w:t>
      </w:r>
      <w:r>
        <w:rPr>
          <w:rFonts w:cs="Times New Roman" w:ascii="Times New Roman" w:hAnsi="Times New Roman"/>
          <w:sz w:val="24"/>
          <w:szCs w:val="24"/>
        </w:rPr>
        <w:t xml:space="preserve"> на базі результатів аналітичного етапу було розпочато планування - визначені пріоритети розвитку, стратегічні, оперативні цілі та завдання стратегії. У підсумку, кожна стратегічна ціль отримала свої напрямки реалізації та завдання для її реалізації. </w:t>
      </w:r>
    </w:p>
    <w:p>
      <w:pPr>
        <w:pStyle w:val="Normal"/>
        <w:spacing w:lineRule="auto" w:line="240" w:before="0" w:after="0"/>
        <w:ind w:firstLine="708"/>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Упродовж липня-вересня 2021 року проходив відкритий збір ідей проєктів місцевого розвитку на підставі наданих технічних завдань. Усі бажаючі мешканці громади мали можливість надати свої пропозиції у відповідності до одного із завдань проєкту Стратегії розвитку Каховської територіальної громади. </w:t>
      </w:r>
    </w:p>
    <w:p>
      <w:pPr>
        <w:pStyle w:val="Normal"/>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ind w:firstLine="708"/>
        <w:jc w:val="both"/>
        <w:rPr/>
      </w:pPr>
      <w:r>
        <w:rPr>
          <w:rFonts w:cs="Times New Roman" w:ascii="Times New Roman" w:hAnsi="Times New Roman"/>
          <w:sz w:val="24"/>
          <w:szCs w:val="24"/>
        </w:rPr>
        <w:t xml:space="preserve">З урахуванням отриманих </w:t>
      </w:r>
      <w:r>
        <w:rPr>
          <w:rFonts w:cs="Times New Roman" w:ascii="Times New Roman" w:hAnsi="Times New Roman"/>
          <w:sz w:val="24"/>
          <w:szCs w:val="24"/>
          <w:highlight w:val="white"/>
        </w:rPr>
        <w:t xml:space="preserve">матеріалів </w:t>
      </w:r>
      <w:r>
        <w:rPr>
          <w:rFonts w:cs="Times New Roman" w:ascii="Times New Roman" w:hAnsi="Times New Roman"/>
          <w:b/>
          <w:bCs/>
          <w:sz w:val="24"/>
          <w:szCs w:val="24"/>
          <w:highlight w:val="white"/>
        </w:rPr>
        <w:t>18</w:t>
      </w:r>
      <w:r>
        <w:rPr>
          <w:rFonts w:cs="Times New Roman" w:ascii="Times New Roman" w:hAnsi="Times New Roman"/>
          <w:b/>
          <w:sz w:val="24"/>
          <w:szCs w:val="24"/>
          <w:highlight w:val="white"/>
        </w:rPr>
        <w:t xml:space="preserve"> жовтня 2021 року</w:t>
      </w:r>
      <w:r>
        <w:rPr>
          <w:rFonts w:cs="Times New Roman" w:ascii="Times New Roman" w:hAnsi="Times New Roman"/>
          <w:sz w:val="24"/>
          <w:szCs w:val="24"/>
          <w:highlight w:val="white"/>
        </w:rPr>
        <w:t xml:space="preserve"> </w:t>
      </w:r>
      <w:r>
        <w:rPr>
          <w:rFonts w:cs="Times New Roman" w:ascii="Times New Roman" w:hAnsi="Times New Roman"/>
          <w:sz w:val="24"/>
          <w:szCs w:val="24"/>
        </w:rPr>
        <w:t xml:space="preserve">під час </w:t>
      </w:r>
      <w:r>
        <w:rPr>
          <w:rFonts w:cs="Times New Roman" w:ascii="Times New Roman" w:hAnsi="Times New Roman"/>
          <w:b/>
          <w:sz w:val="24"/>
          <w:szCs w:val="24"/>
        </w:rPr>
        <w:t xml:space="preserve">четвертого </w:t>
      </w:r>
      <w:r>
        <w:rPr>
          <w:rFonts w:cs="Times New Roman" w:ascii="Times New Roman" w:hAnsi="Times New Roman"/>
          <w:b/>
          <w:bCs/>
          <w:sz w:val="24"/>
          <w:szCs w:val="24"/>
        </w:rPr>
        <w:t xml:space="preserve">засідання </w:t>
      </w:r>
      <w:r>
        <w:rPr>
          <w:rFonts w:cs="Times New Roman" w:ascii="Times New Roman" w:hAnsi="Times New Roman"/>
          <w:sz w:val="24"/>
          <w:szCs w:val="24"/>
        </w:rPr>
        <w:t xml:space="preserve">Робоча група провела відбір та затвердила перелік проєктів і заходів, що відповідають завданням Стратегії та рекомендуються до Плану реалізації Стратегії на 2022-2024 роки. </w:t>
      </w:r>
    </w:p>
    <w:p>
      <w:pPr>
        <w:pStyle w:val="Normal"/>
        <w:spacing w:lineRule="auto" w:line="240" w:before="0" w:after="0"/>
        <w:ind w:firstLine="708"/>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Посадовці Каховської громади опрацювали проєктні ідеї у контексті орієнтовної вартості їх реалізації. Це дало можливість підготувати орієнтовний фінансовий план на перший період реалізації Стратегії – 2022-2024 роки. </w:t>
      </w:r>
    </w:p>
    <w:p>
      <w:pPr>
        <w:pStyle w:val="Normal"/>
        <w:spacing w:lineRule="auto" w:line="240" w:before="0" w:after="0"/>
        <w:jc w:val="both"/>
        <w:rPr>
          <w:rFonts w:ascii="Times New Roman" w:hAnsi="Times New Roman" w:cs="Times New Roman"/>
          <w:sz w:val="24"/>
          <w:szCs w:val="24"/>
          <w:highlight w:val="yellow"/>
        </w:rPr>
      </w:pPr>
      <w:r>
        <w:rPr>
          <w:rFonts w:cs="Times New Roman" w:ascii="Times New Roman" w:hAnsi="Times New Roman"/>
          <w:sz w:val="24"/>
          <w:szCs w:val="24"/>
          <w:highlight w:val="yellow"/>
        </w:rPr>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 xml:space="preserve">В результаті проведених напрацювань був розроблений та погоджений членами Робочої групи проєкт Стратегії розвитку </w:t>
      </w:r>
      <w:r>
        <w:rPr>
          <w:rFonts w:eastAsia="Calibri" w:cs="Times New Roman" w:ascii="Times New Roman" w:hAnsi="Times New Roman"/>
          <w:sz w:val="24"/>
          <w:szCs w:val="24"/>
        </w:rPr>
        <w:t xml:space="preserve">Каховської </w:t>
      </w:r>
      <w:r>
        <w:rPr>
          <w:rFonts w:cs="Times New Roman" w:ascii="Times New Roman" w:hAnsi="Times New Roman"/>
          <w:sz w:val="24"/>
          <w:szCs w:val="24"/>
        </w:rPr>
        <w:t xml:space="preserve">громади на 2022-2027 роки та План реалізації на 2022-2024 роки. </w:t>
      </w:r>
    </w:p>
    <w:p>
      <w:pPr>
        <w:pStyle w:val="Normal"/>
        <w:spacing w:lineRule="auto" w:line="240" w:before="0" w:after="0"/>
        <w:jc w:val="both"/>
        <w:rPr>
          <w:rFonts w:ascii="Times New Roman" w:hAnsi="Times New Roman" w:cs="Times New Roman"/>
          <w:sz w:val="24"/>
          <w:szCs w:val="24"/>
          <w:highlight w:val="yellow"/>
        </w:rPr>
      </w:pPr>
      <w:r>
        <w:rPr>
          <w:rFonts w:cs="Times New Roman" w:ascii="Times New Roman" w:hAnsi="Times New Roman"/>
          <w:sz w:val="24"/>
          <w:szCs w:val="24"/>
          <w:highlight w:val="yellow"/>
        </w:rPr>
      </w:r>
    </w:p>
    <w:p>
      <w:pPr>
        <w:pStyle w:val="Normal"/>
        <w:spacing w:lineRule="auto" w:line="240" w:before="0" w:after="0"/>
        <w:ind w:firstLine="708"/>
        <w:jc w:val="both"/>
        <w:rPr>
          <w:rFonts w:ascii="Times New Roman" w:hAnsi="Times New Roman" w:cs="Times New Roman"/>
          <w:sz w:val="24"/>
          <w:szCs w:val="24"/>
          <w:highlight w:val="yellow"/>
        </w:rPr>
      </w:pPr>
      <w:r>
        <w:rPr>
          <w:rFonts w:cs="Times New Roman" w:ascii="Times New Roman" w:hAnsi="Times New Roman"/>
          <w:sz w:val="24"/>
          <w:szCs w:val="24"/>
          <w:highlight w:val="white"/>
        </w:rPr>
        <w:t xml:space="preserve">Погоджений проєкт був оприлюднений на офіційному веб-сайті </w:t>
      </w:r>
      <w:r>
        <w:rPr>
          <w:rFonts w:eastAsia="Calibri" w:cs="Times New Roman" w:ascii="Times New Roman" w:hAnsi="Times New Roman"/>
          <w:sz w:val="24"/>
          <w:szCs w:val="24"/>
          <w:highlight w:val="white"/>
        </w:rPr>
        <w:t xml:space="preserve">Каховської </w:t>
      </w:r>
      <w:r>
        <w:rPr>
          <w:rFonts w:cs="Times New Roman" w:ascii="Times New Roman" w:hAnsi="Times New Roman"/>
          <w:sz w:val="24"/>
          <w:szCs w:val="24"/>
          <w:highlight w:val="white"/>
        </w:rPr>
        <w:t xml:space="preserve">громади з оголошенням до мешканців надавати свої зауваження та пропозиції. Надійшли пропозиції щодо </w:t>
      </w:r>
    </w:p>
    <w:p>
      <w:pPr>
        <w:pStyle w:val="Normal"/>
        <w:spacing w:lineRule="auto" w:line="240" w:before="0" w:after="0"/>
        <w:jc w:val="both"/>
        <w:rPr>
          <w:rFonts w:ascii="Times New Roman" w:hAnsi="Times New Roman" w:cs="Times New Roman"/>
          <w:sz w:val="24"/>
          <w:szCs w:val="24"/>
          <w:highlight w:val="yellow"/>
        </w:rPr>
      </w:pPr>
      <w:r>
        <w:rPr>
          <w:rFonts w:cs="Times New Roman" w:ascii="Times New Roman" w:hAnsi="Times New Roman"/>
          <w:sz w:val="24"/>
          <w:szCs w:val="24"/>
          <w:highlight w:val="white"/>
        </w:rPr>
        <w:t>Були враховані</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highlight w:val="white"/>
        </w:rPr>
        <w:t xml:space="preserve">Зокрема, були додані проектні ідеї щодо. </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708"/>
        <w:jc w:val="both"/>
        <w:rPr/>
      </w:pPr>
      <w:r>
        <w:rPr>
          <w:rFonts w:cs="Times New Roman" w:ascii="Times New Roman" w:hAnsi="Times New Roman"/>
          <w:sz w:val="24"/>
          <w:szCs w:val="24"/>
        </w:rPr>
        <w:t xml:space="preserve">Усі засідання Робочої групи проводилися у відкритому режимі, тому усі бажаючи мали можливість брати участь в розробці проєкту Стратегії. До роботи активно залучались депутати міської ради, громадські активісти та підприємці </w:t>
      </w:r>
      <w:r>
        <w:rPr>
          <w:rFonts w:eastAsia="Calibri" w:cs="Times New Roman" w:ascii="Times New Roman" w:hAnsi="Times New Roman"/>
          <w:sz w:val="24"/>
          <w:szCs w:val="24"/>
        </w:rPr>
        <w:t xml:space="preserve">Каховської </w:t>
      </w:r>
      <w:r>
        <w:rPr>
          <w:rFonts w:cs="Times New Roman" w:ascii="Times New Roman" w:hAnsi="Times New Roman"/>
          <w:sz w:val="24"/>
          <w:szCs w:val="24"/>
        </w:rPr>
        <w:t xml:space="preserve">громади. </w:t>
      </w:r>
    </w:p>
    <w:p>
      <w:pPr>
        <w:pStyle w:val="Normal"/>
        <w:spacing w:lineRule="auto" w:line="240" w:before="120" w:after="0"/>
        <w:ind w:firstLine="708"/>
        <w:jc w:val="both"/>
        <w:rPr>
          <w:rFonts w:ascii="Times New Roman" w:hAnsi="Times New Roman" w:cs="Times New Roman"/>
          <w:sz w:val="24"/>
          <w:szCs w:val="24"/>
        </w:rPr>
      </w:pPr>
      <w:r>
        <w:rPr>
          <w:rFonts w:cs="Times New Roman" w:ascii="Times New Roman" w:hAnsi="Times New Roman"/>
          <w:sz w:val="24"/>
          <w:szCs w:val="24"/>
        </w:rPr>
        <w:t>Координація роботи та технічний супровід здійснювався Херсонським регіональним відділенням Програми “U-LEAD з Європою”</w:t>
      </w:r>
      <w:r>
        <w:rPr>
          <w:rFonts w:cs="Times New Roman" w:ascii="Times New Roman" w:hAnsi="Times New Roman"/>
          <w:bCs/>
          <w:sz w:val="24"/>
          <w:szCs w:val="24"/>
        </w:rPr>
        <w:t>.</w:t>
      </w:r>
      <w:r>
        <w:rPr>
          <w:rFonts w:cs="Times New Roman" w:ascii="Times New Roman" w:hAnsi="Times New Roman"/>
          <w:sz w:val="24"/>
          <w:szCs w:val="24"/>
        </w:rPr>
        <w:t xml:space="preserve"> Методичне забезпечення, аналітичний супровід і надання консультаційних послуг з питань стратегічного планування забезпечував Віктор Бондарук, експерт з розробки стратегій місцевого розвитку Програми “U-LEAD з Європою”. </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1"/>
        <w:pageBreakBefore w:val="false"/>
        <w:tabs>
          <w:tab w:val="left" w:pos="284" w:leader="none"/>
          <w:tab w:val="left" w:pos="567" w:leader="none"/>
        </w:tabs>
        <w:spacing w:lineRule="auto" w:line="240" w:before="0" w:after="0"/>
        <w:rPr>
          <w:rFonts w:ascii="Times New Roman" w:hAnsi="Times New Roman" w:cs="Times New Roman"/>
          <w:color w:val="1A1A1A" w:themeColor="background1" w:themeShade="1a"/>
          <w:sz w:val="26"/>
          <w:szCs w:val="26"/>
        </w:rPr>
      </w:pPr>
      <w:bookmarkStart w:id="15" w:name="_Toc84967167"/>
      <w:bookmarkStart w:id="16" w:name="_Toc436423063"/>
      <w:bookmarkStart w:id="17" w:name="_Toc445403196"/>
      <w:bookmarkStart w:id="18" w:name="_Toc446487191"/>
      <w:bookmarkStart w:id="19" w:name="_Toc447702488"/>
      <w:bookmarkStart w:id="20" w:name="_Hlk65587592"/>
      <w:bookmarkStart w:id="21" w:name="_Hlk65594899"/>
      <w:bookmarkStart w:id="22" w:name="_Hlk37240967"/>
      <w:bookmarkStart w:id="23" w:name="_Hlk34835407"/>
      <w:bookmarkEnd w:id="20"/>
      <w:bookmarkEnd w:id="21"/>
      <w:bookmarkEnd w:id="22"/>
      <w:bookmarkEnd w:id="23"/>
      <w:r>
        <w:rPr>
          <w:rFonts w:cs="Times New Roman" w:ascii="Times New Roman" w:hAnsi="Times New Roman"/>
          <w:color w:val="1A1A1A" w:themeColor="background1" w:themeShade="1a"/>
          <w:sz w:val="26"/>
          <w:szCs w:val="26"/>
        </w:rPr>
        <w:t>І.</w:t>
        <w:tab/>
      </w:r>
      <w:bookmarkEnd w:id="15"/>
      <w:bookmarkEnd w:id="16"/>
      <w:bookmarkEnd w:id="17"/>
      <w:bookmarkEnd w:id="18"/>
      <w:bookmarkEnd w:id="19"/>
      <w:r>
        <w:rPr>
          <w:rFonts w:cs="Times New Roman" w:ascii="Times New Roman" w:hAnsi="Times New Roman"/>
          <w:color w:val="1A1A1A" w:themeColor="background1" w:themeShade="1a"/>
          <w:sz w:val="26"/>
          <w:szCs w:val="26"/>
        </w:rPr>
        <w:t>АНАЛІТИЧНА ЧАСТИНА</w:t>
      </w:r>
    </w:p>
    <w:p>
      <w:pPr>
        <w:pStyle w:val="Normal"/>
        <w:spacing w:lineRule="auto" w:line="240" w:before="0" w:after="0"/>
        <w:rPr>
          <w:rFonts w:ascii="Times New Roman" w:hAnsi="Times New Roman" w:cs="Times New Roman"/>
          <w:color w:val="1A1A1A" w:themeColor="background1" w:themeShade="1a"/>
        </w:rPr>
      </w:pPr>
      <w:r>
        <w:rPr>
          <w:rFonts w:cs="Times New Roman" w:ascii="Times New Roman" w:hAnsi="Times New Roman"/>
          <w:color w:val="1A1A1A" w:themeColor="background1" w:themeShade="1a"/>
        </w:rPr>
      </w:r>
    </w:p>
    <w:p>
      <w:pPr>
        <w:pStyle w:val="Normal"/>
        <w:keepNext/>
        <w:keepLines/>
        <w:numPr>
          <w:ilvl w:val="0"/>
          <w:numId w:val="0"/>
        </w:numPr>
        <w:tabs>
          <w:tab w:val="left" w:pos="567" w:leader="none"/>
        </w:tabs>
        <w:spacing w:lineRule="auto" w:line="240" w:before="0" w:after="120"/>
        <w:jc w:val="both"/>
        <w:outlineLvl w:val="1"/>
        <w:rPr>
          <w:rFonts w:ascii="Times New Roman" w:hAnsi="Times New Roman" w:eastAsia="Times New Roman" w:cs="Times New Roman"/>
          <w:b/>
          <w:b/>
          <w:bCs/>
          <w:color w:val="1A1A1A"/>
          <w:sz w:val="24"/>
          <w:szCs w:val="24"/>
        </w:rPr>
      </w:pPr>
      <w:bookmarkStart w:id="24" w:name="_Toc84967168"/>
      <w:bookmarkEnd w:id="24"/>
      <w:r>
        <w:rPr>
          <w:rFonts w:eastAsia="Times New Roman" w:cs="Times New Roman" w:ascii="Times New Roman" w:hAnsi="Times New Roman"/>
          <w:b/>
          <w:bCs/>
          <w:color w:val="1A1A1A"/>
          <w:sz w:val="24"/>
          <w:szCs w:val="24"/>
        </w:rPr>
        <w:t>1. Актуальний стан та основні тенденції соціально-економічного розвитку громади</w:t>
      </w:r>
    </w:p>
    <w:p>
      <w:pPr>
        <w:pStyle w:val="2"/>
        <w:spacing w:before="0" w:after="0"/>
        <w:ind w:left="284" w:hanging="0"/>
        <w:rPr>
          <w:rFonts w:ascii="Times New Roman" w:hAnsi="Times New Roman" w:cs="Times New Roman"/>
          <w:szCs w:val="24"/>
        </w:rPr>
      </w:pPr>
      <w:bookmarkStart w:id="25" w:name="_Toc34693342"/>
      <w:r>
        <w:rPr>
          <w:rFonts w:cs="Times New Roman" w:ascii="Times New Roman" w:hAnsi="Times New Roman"/>
          <w:b w:val="false"/>
          <w:bCs w:val="false"/>
          <w:color w:val="1A1A1A"/>
          <w:szCs w:val="24"/>
        </w:rPr>
        <w:tab/>
      </w:r>
      <w:bookmarkStart w:id="26" w:name="_Toc84967169"/>
      <w:bookmarkEnd w:id="25"/>
      <w:bookmarkEnd w:id="26"/>
      <w:r>
        <w:rPr>
          <w:rFonts w:cs="Times New Roman" w:ascii="Times New Roman" w:hAnsi="Times New Roman"/>
          <w:szCs w:val="24"/>
        </w:rPr>
        <w:t>1.1. Географічне розташування, ландшафт та природні ресурси</w:t>
      </w:r>
    </w:p>
    <w:p>
      <w:pPr>
        <w:pStyle w:val="Normal"/>
        <w:spacing w:lineRule="auto" w:line="240" w:before="120" w:after="0"/>
        <w:ind w:firstLine="709"/>
        <w:jc w:val="both"/>
        <w:rPr/>
      </w:pPr>
      <w:r>
        <w:rPr>
          <w:rFonts w:eastAsia="Calibri" w:cs="Times New Roman" w:ascii="Times New Roman" w:hAnsi="Times New Roman"/>
          <w:color w:val="1A1A1A"/>
          <w:sz w:val="24"/>
          <w:szCs w:val="24"/>
          <w:highlight w:val="white"/>
          <w:lang w:val="uk-UA"/>
        </w:rPr>
        <w:t xml:space="preserve">Розпорядженням Кабінету Міністрів України Про затвердження перспективного плану формування територій громад Херсонської області від 29 квітня 2020 р. № 474-р до </w:t>
      </w:r>
      <w:r>
        <w:rPr>
          <w:rFonts w:eastAsia="Calibri" w:cs="Times New Roman" w:ascii="Times New Roman" w:hAnsi="Times New Roman"/>
          <w:color w:val="1A1A1A"/>
          <w:sz w:val="24"/>
          <w:szCs w:val="24"/>
          <w:highlight w:val="white"/>
          <w:lang w:eastAsia="uk-UA"/>
        </w:rPr>
        <w:t>Переліку спроможних територіальних громад Херсонської області ввійшла Каховська територіальна громада у</w:t>
      </w:r>
      <w:r>
        <w:rPr>
          <w:rFonts w:eastAsia="Calibri" w:cs="Times New Roman" w:ascii="Times New Roman" w:hAnsi="Times New Roman"/>
          <w:color w:val="1A1A1A"/>
          <w:sz w:val="28"/>
          <w:szCs w:val="28"/>
          <w:highlight w:val="white"/>
          <w:lang w:eastAsia="uk-UA"/>
        </w:rPr>
        <w:t xml:space="preserve"> </w:t>
      </w:r>
      <w:r>
        <w:rPr>
          <w:rFonts w:eastAsia="Calibri" w:cs="Times New Roman" w:ascii="Times New Roman" w:hAnsi="Times New Roman"/>
          <w:color w:val="1A1A1A"/>
          <w:sz w:val="24"/>
          <w:szCs w:val="24"/>
          <w:highlight w:val="white"/>
        </w:rPr>
        <w:t xml:space="preserve"> складі з 6 населених пунктів:</w:t>
      </w:r>
      <w:r>
        <w:rPr>
          <w:rFonts w:eastAsia="Calibri" w:cs="Times New Roman" w:ascii="Times New Roman" w:hAnsi="Times New Roman"/>
          <w:color w:val="1A1A1A"/>
          <w:sz w:val="24"/>
          <w:szCs w:val="24"/>
        </w:rPr>
        <w:t xml:space="preserve"> місто Каховка (центр громади) та села Коробки, Малокаховка, Роздольне, Чорноморівка, Вільна Україна. За територіальним устроєм громада входить до Каховського району Херсонської області. </w:t>
      </w:r>
    </w:p>
    <w:p>
      <w:pPr>
        <w:pStyle w:val="Normal"/>
        <w:spacing w:lineRule="auto" w:line="240" w:before="120" w:after="0"/>
        <w:ind w:firstLine="709"/>
        <w:jc w:val="both"/>
        <w:rPr>
          <w:rFonts w:ascii="Times New Roman" w:hAnsi="Times New Roman" w:eastAsia="Calibri" w:cs="Times New Roman"/>
          <w:color w:val="1A1A1A"/>
          <w:sz w:val="24"/>
          <w:szCs w:val="24"/>
        </w:rPr>
      </w:pPr>
      <w:r>
        <w:rPr>
          <w:rFonts w:eastAsia="Calibri" w:cs="Times New Roman" w:ascii="Times New Roman" w:hAnsi="Times New Roman"/>
          <w:color w:val="1A1A1A"/>
          <w:sz w:val="24"/>
          <w:szCs w:val="24"/>
        </w:rPr>
        <w:t xml:space="preserve">Відстань від адміністративного центру громади, м. Каховка, до районного центру - м. Нова Каховка - 14 км, до обласного центру – м. Херсон – 88 км. </w:t>
      </w:r>
    </w:p>
    <w:p>
      <w:pPr>
        <w:pStyle w:val="Normal"/>
        <w:spacing w:lineRule="auto" w:line="240" w:before="0" w:after="0"/>
        <w:ind w:firstLine="709"/>
        <w:jc w:val="both"/>
        <w:rPr>
          <w:rFonts w:ascii="Times New Roman" w:hAnsi="Times New Roman" w:eastAsia="Calibri" w:cs="Times New Roman"/>
          <w:color w:val="1A1A1A"/>
          <w:sz w:val="24"/>
          <w:szCs w:val="24"/>
        </w:rPr>
      </w:pPr>
      <w:r>
        <w:rPr>
          <w:rFonts w:eastAsia="Calibri" w:cs="Times New Roman" w:ascii="Times New Roman" w:hAnsi="Times New Roman"/>
          <w:color w:val="1A1A1A"/>
          <w:sz w:val="24"/>
          <w:szCs w:val="24"/>
        </w:rPr>
        <w:t xml:space="preserve">Адреса: Херсонська область, Каховський район, м. Каховка, вул. Велика Куликовська, 103. </w:t>
      </w:r>
    </w:p>
    <w:p>
      <w:pPr>
        <w:pStyle w:val="Normal"/>
        <w:spacing w:lineRule="auto" w:line="240" w:before="120" w:after="0"/>
        <w:ind w:firstLine="709"/>
        <w:jc w:val="both"/>
        <w:rPr>
          <w:rFonts w:ascii="Times New Roman" w:hAnsi="Times New Roman" w:eastAsia="Calibri" w:cs="Times New Roman"/>
          <w:color w:val="1A1A1A"/>
          <w:sz w:val="24"/>
          <w:szCs w:val="24"/>
        </w:rPr>
      </w:pPr>
      <w:r>
        <w:rPr>
          <w:rFonts w:eastAsia="Calibri" w:cs="Times New Roman" w:ascii="Times New Roman" w:hAnsi="Times New Roman"/>
          <w:color w:val="1A1A1A"/>
          <w:sz w:val="24"/>
          <w:szCs w:val="24"/>
        </w:rPr>
        <w:t>Географічно Каховська територіальна громада розташована в середині Херсонської області, межує з заходу на схід з громадами Каховського району – Новокаховська, Таврійська, Зеленопідська, Любимівська, з півночі омивається Каховським водосховищем.</w:t>
      </w:r>
    </w:p>
    <w:p>
      <w:pPr>
        <w:pStyle w:val="Normal"/>
        <w:spacing w:lineRule="auto" w:line="240" w:before="120" w:after="0"/>
        <w:ind w:firstLine="709"/>
        <w:jc w:val="both"/>
        <w:rPr>
          <w:rFonts w:ascii="Times New Roman" w:hAnsi="Times New Roman" w:eastAsia="Calibri" w:cs="Times New Roman"/>
          <w:color w:val="1A1A1A"/>
          <w:sz w:val="24"/>
          <w:szCs w:val="24"/>
        </w:rPr>
      </w:pPr>
      <w:r>
        <w:rPr>
          <w:rFonts w:eastAsia="Calibri" w:cs="Times New Roman" w:ascii="Times New Roman" w:hAnsi="Times New Roman"/>
          <w:color w:val="1A1A1A"/>
          <w:sz w:val="24"/>
          <w:szCs w:val="24"/>
        </w:rPr>
        <w:t>З заходу на схід територію Каховської територіальної громади перетинає залізнична колія Херсонської дирекції Одеської залізниці, неелектрифікована лінія Снігурівка - Федорівка. У м. Таврійськ, центрі сусідньої громади, в 9 км від центру м. Каховка розташована залізнична станція Каховка, на якій здійснюються прийом та видача вантажів вагонними відправками. На станції щоденно зупиняються приміські потяги до станцій Миколаїв-Вантажний, Херсон і Нововесела, а також єдиний потяг далекого сполучення «Таврія» Запоріжжя — Одеса, що курсує цілий рік через день.</w:t>
      </w:r>
    </w:p>
    <w:p>
      <w:pPr>
        <w:pStyle w:val="Normal"/>
        <w:spacing w:lineRule="auto" w:line="240" w:before="120" w:after="0"/>
        <w:ind w:firstLine="709"/>
        <w:jc w:val="both"/>
        <w:rPr>
          <w:rFonts w:ascii="Times New Roman" w:hAnsi="Times New Roman" w:eastAsia="Calibri" w:cs="Times New Roman"/>
          <w:color w:val="1A1A1A"/>
          <w:sz w:val="24"/>
          <w:szCs w:val="24"/>
        </w:rPr>
      </w:pPr>
      <w:r>
        <w:rPr>
          <w:rFonts w:eastAsia="Calibri" w:cs="Times New Roman" w:ascii="Times New Roman" w:hAnsi="Times New Roman"/>
          <w:color w:val="1A1A1A"/>
          <w:sz w:val="24"/>
          <w:szCs w:val="24"/>
        </w:rPr>
      </w:r>
    </w:p>
    <w:p>
      <w:pPr>
        <w:pStyle w:val="Normal"/>
        <w:rPr>
          <w:rFonts w:ascii="Times New Roman" w:hAnsi="Times New Roman" w:eastAsia="Calibri" w:cs="Times New Roman"/>
          <w:color w:val="1A1A1A"/>
          <w:sz w:val="24"/>
          <w:szCs w:val="24"/>
        </w:rPr>
      </w:pPr>
      <w:r>
        <w:rPr/>
        <w:drawing>
          <wp:inline distT="0" distB="0" distL="0" distR="0">
            <wp:extent cx="6262370" cy="3965575"/>
            <wp:effectExtent l="0" t="0" r="0" b="0"/>
            <wp:docPr id="2"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
                    <pic:cNvPicPr>
                      <a:picLocks noChangeAspect="1" noChangeArrowheads="1"/>
                    </pic:cNvPicPr>
                  </pic:nvPicPr>
                  <pic:blipFill>
                    <a:blip r:embed="rId3"/>
                    <a:srcRect l="14481" t="12667" r="17494" b="11033"/>
                    <a:stretch>
                      <a:fillRect/>
                    </a:stretch>
                  </pic:blipFill>
                  <pic:spPr bwMode="auto">
                    <a:xfrm>
                      <a:off x="0" y="0"/>
                      <a:ext cx="6262370" cy="3965575"/>
                    </a:xfrm>
                    <a:prstGeom prst="rect">
                      <a:avLst/>
                    </a:prstGeom>
                  </pic:spPr>
                </pic:pic>
              </a:graphicData>
            </a:graphic>
          </wp:inline>
        </w:drawing>
      </w:r>
    </w:p>
    <w:p>
      <w:pPr>
        <w:pStyle w:val="Normal"/>
        <w:spacing w:lineRule="auto" w:line="240" w:before="120" w:after="0"/>
        <w:ind w:firstLine="708"/>
        <w:jc w:val="both"/>
        <w:rPr>
          <w:rFonts w:ascii="Times New Roman" w:hAnsi="Times New Roman" w:eastAsia="Calibri" w:cs="Times New Roman"/>
          <w:color w:val="1A1A1A"/>
          <w:sz w:val="24"/>
          <w:szCs w:val="24"/>
        </w:rPr>
      </w:pPr>
      <w:r>
        <mc:AlternateContent>
          <mc:Choice Requires="wps">
            <w:drawing>
              <wp:anchor behindDoc="0" distT="0" distB="0" distL="114300" distR="114300" simplePos="0" locked="0" layoutInCell="1" allowOverlap="1" relativeHeight="2">
                <wp:simplePos x="0" y="0"/>
                <wp:positionH relativeFrom="margin">
                  <wp:posOffset>-68580</wp:posOffset>
                </wp:positionH>
                <wp:positionV relativeFrom="paragraph">
                  <wp:posOffset>19685</wp:posOffset>
                </wp:positionV>
                <wp:extent cx="6123940" cy="538480"/>
                <wp:effectExtent l="0" t="0" r="0" b="0"/>
                <wp:wrapSquare wrapText="bothSides"/>
                <wp:docPr id="3" name="Врезка1"/>
                <a:graphic xmlns:a="http://schemas.openxmlformats.org/drawingml/2006/main">
                  <a:graphicData uri="http://schemas.microsoft.com/office/word/2010/wordprocessingShape">
                    <wps:wsp>
                      <wps:cNvSpPr/>
                      <wps:spPr>
                        <a:xfrm>
                          <a:off x="0" y="0"/>
                          <a:ext cx="6123240" cy="537840"/>
                        </a:xfrm>
                        <a:prstGeom prst="rect">
                          <a:avLst/>
                        </a:prstGeom>
                        <a:noFill/>
                        <a:ln>
                          <a:noFill/>
                        </a:ln>
                      </wps:spPr>
                      <wps:style>
                        <a:lnRef idx="0"/>
                        <a:fillRef idx="0"/>
                        <a:effectRef idx="0"/>
                        <a:fontRef idx="minor"/>
                      </wps:style>
                      <wps:txbx>
                        <w:txbxContent>
                          <w:tbl>
                            <w:tblPr>
                              <w:tblW w:w="9639" w:type="dxa"/>
                              <w:jc w:val="left"/>
                              <w:tblInd w:w="108" w:type="dxa"/>
                              <w:tblBorders/>
                              <w:tblCellMar>
                                <w:top w:w="0" w:type="dxa"/>
                                <w:left w:w="108" w:type="dxa"/>
                                <w:bottom w:w="0" w:type="dxa"/>
                                <w:right w:w="108" w:type="dxa"/>
                              </w:tblCellMar>
                              <w:tblLook w:val="01e0" w:noVBand="0" w:noHBand="0" w:firstRow="1" w:lastRow="1" w:firstColumn="1" w:lastColumn="1"/>
                            </w:tblPr>
                            <w:tblGrid>
                              <w:gridCol w:w="9639"/>
                            </w:tblGrid>
                            <w:tr>
                              <w:trPr/>
                              <w:tc>
                                <w:tcPr>
                                  <w:tcW w:w="9639" w:type="dxa"/>
                                  <w:tcBorders/>
                                  <w:shd w:fill="auto" w:val="clear"/>
                                </w:tcPr>
                                <w:p>
                                  <w:pPr>
                                    <w:pStyle w:val="ListParagraph"/>
                                    <w:numPr>
                                      <w:ilvl w:val="0"/>
                                      <w:numId w:val="3"/>
                                    </w:numPr>
                                    <w:tabs>
                                      <w:tab w:val="left" w:pos="1260" w:leader="none"/>
                                    </w:tabs>
                                    <w:spacing w:before="120" w:after="200"/>
                                    <w:ind w:left="714" w:hanging="357"/>
                                    <w:jc w:val="center"/>
                                    <w:rPr/>
                                  </w:pPr>
                                  <w:bookmarkStart w:id="27" w:name="_Hlk655063311"/>
                                  <w:bookmarkStart w:id="28" w:name="_Hlk655064911"/>
                                  <w:bookmarkStart w:id="29" w:name="_Toc4477023751"/>
                                  <w:bookmarkEnd w:id="27"/>
                                  <w:bookmarkEnd w:id="28"/>
                                  <w:bookmarkEnd w:id="29"/>
                                  <w:r>
                                    <w:rPr>
                                      <w:rFonts w:cs="Times New Roman" w:ascii="Times New Roman" w:hAnsi="Times New Roman"/>
                                      <w:b/>
                                      <w:color w:val="1A1A1A" w:themeColor="background1" w:themeShade="1a"/>
                                      <w:sz w:val="24"/>
                                      <w:szCs w:val="24"/>
                                      <w:lang w:val="uk-UA"/>
                                    </w:rPr>
                                    <w:t>Географічне розташування Каховської громади</w:t>
                                  </w:r>
                                </w:p>
                              </w:tc>
                            </w:tr>
                          </w:tbl>
                          <w:p>
                            <w:pPr>
                              <w:pStyle w:val="Style31"/>
                              <w:spacing w:before="0" w:after="200"/>
                              <w:rPr/>
                            </w:pPr>
                            <w:r>
                              <w:rPr/>
                            </w:r>
                          </w:p>
                        </w:txbxContent>
                      </wps:txbx>
                      <wps:bodyPr lIns="0" rIns="0" tIns="0" bIns="0">
                        <a:spAutoFit/>
                      </wps:bodyPr>
                    </wps:wsp>
                  </a:graphicData>
                </a:graphic>
              </wp:anchor>
            </w:drawing>
          </mc:Choice>
          <mc:Fallback>
            <w:pict>
              <v:rect id="shape_0" ID="Врезка1" stroked="f" style="position:absolute;margin-left:-5.4pt;margin-top:1.55pt;width:482.1pt;height:42.3pt;mso-position-horizontal-relative:margin">
                <w10:wrap type="none"/>
                <v:fill o:detectmouseclick="t" on="false"/>
                <v:stroke color="#3465a4" joinstyle="round" endcap="flat"/>
                <v:textbox>
                  <w:txbxContent>
                    <w:tbl>
                      <w:tblPr>
                        <w:tblW w:w="9639" w:type="dxa"/>
                        <w:jc w:val="left"/>
                        <w:tblInd w:w="108" w:type="dxa"/>
                        <w:tblBorders/>
                        <w:tblCellMar>
                          <w:top w:w="0" w:type="dxa"/>
                          <w:left w:w="108" w:type="dxa"/>
                          <w:bottom w:w="0" w:type="dxa"/>
                          <w:right w:w="108" w:type="dxa"/>
                        </w:tblCellMar>
                        <w:tblLook w:val="01e0" w:noVBand="0" w:noHBand="0" w:firstRow="1" w:lastRow="1" w:firstColumn="1" w:lastColumn="1"/>
                      </w:tblPr>
                      <w:tblGrid>
                        <w:gridCol w:w="9639"/>
                      </w:tblGrid>
                      <w:tr>
                        <w:trPr/>
                        <w:tc>
                          <w:tcPr>
                            <w:tcW w:w="9639" w:type="dxa"/>
                            <w:tcBorders/>
                            <w:shd w:fill="auto" w:val="clear"/>
                          </w:tcPr>
                          <w:p>
                            <w:pPr>
                              <w:pStyle w:val="ListParagraph"/>
                              <w:numPr>
                                <w:ilvl w:val="0"/>
                                <w:numId w:val="3"/>
                              </w:numPr>
                              <w:tabs>
                                <w:tab w:val="left" w:pos="1260" w:leader="none"/>
                              </w:tabs>
                              <w:spacing w:before="120" w:after="200"/>
                              <w:ind w:left="714" w:hanging="357"/>
                              <w:jc w:val="center"/>
                              <w:rPr/>
                            </w:pPr>
                            <w:bookmarkStart w:id="30" w:name="_Hlk655063311"/>
                            <w:bookmarkStart w:id="31" w:name="_Hlk655064911"/>
                            <w:bookmarkStart w:id="32" w:name="_Toc4477023751"/>
                            <w:bookmarkEnd w:id="30"/>
                            <w:bookmarkEnd w:id="31"/>
                            <w:bookmarkEnd w:id="32"/>
                            <w:r>
                              <w:rPr>
                                <w:rFonts w:cs="Times New Roman" w:ascii="Times New Roman" w:hAnsi="Times New Roman"/>
                                <w:b/>
                                <w:color w:val="1A1A1A" w:themeColor="background1" w:themeShade="1a"/>
                                <w:sz w:val="24"/>
                                <w:szCs w:val="24"/>
                                <w:lang w:val="uk-UA"/>
                              </w:rPr>
                              <w:t>Географічне розташування Каховської громади</w:t>
                            </w:r>
                          </w:p>
                        </w:tc>
                      </w:tr>
                    </w:tbl>
                    <w:p>
                      <w:pPr>
                        <w:pStyle w:val="Style31"/>
                        <w:spacing w:before="0" w:after="200"/>
                        <w:rPr/>
                      </w:pPr>
                      <w:r>
                        <w:rPr/>
                      </w:r>
                    </w:p>
                  </w:txbxContent>
                </v:textbox>
              </v:rect>
            </w:pict>
          </mc:Fallback>
        </mc:AlternateContent>
      </w:r>
      <w:r>
        <w:rPr>
          <w:rFonts w:eastAsia="Calibri" w:cs="Times New Roman" w:ascii="Times New Roman" w:hAnsi="Times New Roman"/>
          <w:color w:val="1A1A1A"/>
          <w:sz w:val="24"/>
          <w:szCs w:val="24"/>
        </w:rPr>
        <w:t xml:space="preserve">Через територію громади проходить автомобільний шлях міжнародного значення М 14 (Е 58) Одеса - Мелітополь - Новоазовськ - пункт пропуску Новоазовськ (кордон із Росією). Також через населені пункти громади проходить автомобільний шлях регіонального значення Р 47 Херсон - Нова Каховка - Таврійськ - Каховка - Асканія Нова - Новотроїцьке - Генічеськ. Це має позитивний вплив на транспортну доступність Каховської громади в цілому та нові можливості малого бізнесу у сфері торгівлі та послуг. </w:t>
      </w:r>
    </w:p>
    <w:p>
      <w:pPr>
        <w:pStyle w:val="Normal"/>
        <w:spacing w:lineRule="auto" w:line="240" w:before="0" w:after="0"/>
        <w:ind w:firstLine="709"/>
        <w:jc w:val="both"/>
        <w:rPr>
          <w:rFonts w:ascii="Times New Roman" w:hAnsi="Times New Roman" w:eastAsia="Calibri" w:cs="Times New Roman"/>
          <w:color w:val="1A1A1A"/>
          <w:sz w:val="24"/>
          <w:szCs w:val="24"/>
        </w:rPr>
      </w:pPr>
      <w:r>
        <w:rPr>
          <w:rFonts w:eastAsia="Calibri" w:cs="Times New Roman" w:ascii="Times New Roman" w:hAnsi="Times New Roman"/>
          <w:color w:val="1A1A1A"/>
          <w:sz w:val="24"/>
          <w:szCs w:val="24"/>
        </w:rPr>
        <w:t>Повітряними шляхами сполучення можливе через Міжнародний аеропорт Херсон, що розташований за 95 км від адміністративного центру громади. Відстань до найближчого морського порту – Херсонського - 100 км.</w:t>
      </w:r>
    </w:p>
    <w:p>
      <w:pPr>
        <w:pStyle w:val="Normal"/>
        <w:spacing w:lineRule="auto" w:line="240" w:before="120" w:after="0"/>
        <w:ind w:firstLine="709"/>
        <w:jc w:val="both"/>
        <w:rPr>
          <w:rFonts w:ascii="Times New Roman" w:hAnsi="Times New Roman" w:eastAsia="Calibri" w:cs="Times New Roman"/>
          <w:i/>
          <w:i/>
          <w:iCs/>
          <w:color w:val="1A1A1A"/>
          <w:sz w:val="24"/>
          <w:szCs w:val="24"/>
          <w:u w:val="single"/>
        </w:rPr>
      </w:pPr>
      <w:r>
        <w:rPr>
          <w:rFonts w:eastAsia="Calibri" w:cs="Times New Roman" w:ascii="Times New Roman" w:hAnsi="Times New Roman"/>
          <w:i/>
          <w:iCs/>
          <w:color w:val="1A1A1A"/>
          <w:sz w:val="24"/>
          <w:szCs w:val="24"/>
          <w:u w:val="single"/>
        </w:rPr>
        <w:t>Коротка історична довідка</w:t>
      </w:r>
    </w:p>
    <w:p>
      <w:pPr>
        <w:pStyle w:val="Normal"/>
        <w:spacing w:lineRule="auto" w:line="240" w:before="120" w:after="0"/>
        <w:ind w:firstLine="709"/>
        <w:jc w:val="both"/>
        <w:rPr>
          <w:rFonts w:ascii="Times New Roman" w:hAnsi="Times New Roman" w:eastAsia="Calibri" w:cs="Times New Roman"/>
          <w:color w:val="1A1A1A"/>
          <w:sz w:val="24"/>
          <w:szCs w:val="24"/>
        </w:rPr>
      </w:pPr>
      <w:r>
        <w:rPr>
          <w:rFonts w:eastAsia="Calibri" w:cs="Times New Roman" w:ascii="Times New Roman" w:hAnsi="Times New Roman"/>
          <w:color w:val="1A1A1A"/>
          <w:sz w:val="24"/>
          <w:szCs w:val="24"/>
        </w:rPr>
        <w:t xml:space="preserve">Місто Каховка засноване у 1791 році на місці колишньої турецької фортеці Іслам-Кермен, назване на честь генерала В. Каховського - учасника російсько-турецьких воєн другої половини XVIII ст. До 1879 року Каховка стала відомим торгівельним містечком, чому немало сприяло вигідне розташування на перехресті торгівельних шляхів, біля відомого колись Таванського перевозу через Дніпро. Рік у рік збільшувалися обсяги перевезень Каховської пристані. Нікольський і Покровський ярмарки, що відбувалися в містечку на початку травня і в жовтні, посідали перше місце в Таврії за товарообігом. Завдяки своїм ярмаркам найманої праці, які збирали до 40 тис. прийшлих робітників, Каховка стала відігравати роль постачальника робітничої сили до крупних поміщицьких маєтків Фальц-Фейнів, Трубецьких, Мордвинових та ін. </w:t>
      </w:r>
    </w:p>
    <w:p>
      <w:pPr>
        <w:pStyle w:val="Normal"/>
        <w:spacing w:lineRule="auto" w:line="240" w:before="0" w:after="0"/>
        <w:ind w:firstLine="709"/>
        <w:jc w:val="both"/>
        <w:rPr>
          <w:rFonts w:ascii="Times New Roman" w:hAnsi="Times New Roman" w:eastAsia="Calibri" w:cs="Times New Roman"/>
          <w:color w:val="1A1A1A"/>
          <w:sz w:val="24"/>
          <w:szCs w:val="24"/>
        </w:rPr>
      </w:pPr>
      <w:r>
        <w:rPr>
          <w:rFonts w:eastAsia="Calibri" w:cs="Times New Roman" w:ascii="Times New Roman" w:hAnsi="Times New Roman"/>
          <w:color w:val="1A1A1A"/>
          <w:sz w:val="24"/>
          <w:szCs w:val="24"/>
        </w:rPr>
        <w:t>Наприкінці XIX століття стало розвиватися промислове виробництво, з’явилися заводи сільськогосподарських машин, пивоварний, горілчаний, лісопильний, фабрика безалкогольних напоїв. Значну роль відігравали 4 каховських пристані. На початку XX століття населення Каховки налічувало 4 тис. мешканців. В містечку діяло 6 шкіл, лікарня, бібліотека (одна з десяти найст</w:t>
      </w:r>
      <w:r>
        <w:rPr>
          <w:rFonts w:eastAsia="Calibri" w:cs="Times New Roman" w:ascii="Times New Roman" w:hAnsi="Times New Roman"/>
          <w:color w:val="1A1A1A"/>
          <w:sz w:val="24"/>
          <w:szCs w:val="24"/>
          <w:highlight w:val="white"/>
        </w:rPr>
        <w:t xml:space="preserve">аріших бібліотек України), ілюзіон, Народний дім. </w:t>
      </w:r>
    </w:p>
    <w:p>
      <w:pPr>
        <w:pStyle w:val="Normal"/>
        <w:spacing w:lineRule="auto" w:line="240" w:before="0" w:after="0"/>
        <w:ind w:firstLine="709"/>
        <w:jc w:val="both"/>
        <w:rPr>
          <w:rFonts w:ascii="Times New Roman" w:hAnsi="Times New Roman" w:eastAsia="Calibri" w:cs="Times New Roman"/>
          <w:color w:val="1A1A1A"/>
          <w:sz w:val="24"/>
          <w:szCs w:val="24"/>
        </w:rPr>
      </w:pPr>
      <w:r>
        <w:rPr>
          <w:rFonts w:eastAsia="Calibri" w:cs="Times New Roman" w:ascii="Times New Roman" w:hAnsi="Times New Roman"/>
          <w:color w:val="1A1A1A"/>
          <w:sz w:val="24"/>
          <w:szCs w:val="24"/>
          <w:highlight w:val="white"/>
        </w:rPr>
        <w:t>Село Малокаховка веде свою історію з 1855 року. Економічно тут завжди було розвинуте сільське господарство, за радянських часів працював виноробний радгосп.</w:t>
      </w:r>
    </w:p>
    <w:p>
      <w:pPr>
        <w:pStyle w:val="Normal"/>
        <w:spacing w:lineRule="auto" w:line="240" w:before="0" w:after="0"/>
        <w:ind w:firstLine="709"/>
        <w:jc w:val="both"/>
        <w:rPr>
          <w:rFonts w:ascii="Times New Roman" w:hAnsi="Times New Roman" w:eastAsia="Calibri" w:cs="Times New Roman"/>
          <w:color w:val="1A1A1A"/>
          <w:sz w:val="24"/>
          <w:szCs w:val="24"/>
        </w:rPr>
      </w:pPr>
      <w:r>
        <w:rPr>
          <w:rFonts w:eastAsia="Calibri" w:cs="Times New Roman" w:ascii="Times New Roman" w:hAnsi="Times New Roman"/>
          <w:color w:val="1A1A1A"/>
          <w:sz w:val="24"/>
          <w:szCs w:val="24"/>
          <w:highlight w:val="white"/>
        </w:rPr>
        <w:t>Села Роздольне та Вільна Україна були засновані в 1921 році. Окрім традиційного вирощування зернових тут розвинуті садівництво та вирощування овочів і баштанних культур.</w:t>
      </w:r>
    </w:p>
    <w:p>
      <w:pPr>
        <w:pStyle w:val="Normal"/>
        <w:spacing w:lineRule="auto" w:line="240" w:before="0" w:after="0"/>
        <w:ind w:firstLine="709"/>
        <w:jc w:val="both"/>
        <w:rPr>
          <w:highlight w:val="white"/>
        </w:rPr>
      </w:pPr>
      <w:r>
        <w:rPr>
          <w:rFonts w:eastAsia="Calibri" w:cs="Times New Roman" w:ascii="Times New Roman" w:hAnsi="Times New Roman"/>
          <w:color w:val="1A1A1A"/>
          <w:sz w:val="24"/>
          <w:szCs w:val="24"/>
          <w:highlight w:val="white"/>
        </w:rPr>
        <w:t>Село Коробки засноване в 1897 році. На території с.</w:t>
      </w:r>
      <w:r>
        <w:rPr>
          <w:rFonts w:eastAsia="Calibri" w:cs="Times New Roman" w:ascii="Times New Roman" w:hAnsi="Times New Roman"/>
          <w:color w:val="1A1A1A"/>
          <w:sz w:val="24"/>
          <w:szCs w:val="24"/>
          <w:highlight w:val="white"/>
          <w:lang w:val="ru-RU"/>
        </w:rPr>
        <w:t xml:space="preserve"> </w:t>
      </w:r>
      <w:r>
        <w:rPr>
          <w:rFonts w:eastAsia="Calibri" w:cs="Times New Roman" w:ascii="Times New Roman" w:hAnsi="Times New Roman"/>
          <w:color w:val="1A1A1A"/>
          <w:sz w:val="24"/>
          <w:szCs w:val="24"/>
          <w:highlight w:val="white"/>
        </w:rPr>
        <w:t>Коробки розміщувалась центральна садиба Каховського радгоспу-технікуму, за яким було закріплено 5140 га сільськогосподарських угідь, з них 4576 га орної землі, у тому числі 3218 га — зрошуваної. Вирощувались зернові культури, городина, корми.</w:t>
      </w:r>
    </w:p>
    <w:p>
      <w:pPr>
        <w:pStyle w:val="Normal"/>
        <w:spacing w:lineRule="auto" w:line="240" w:before="0" w:after="0"/>
        <w:ind w:firstLine="709"/>
        <w:jc w:val="both"/>
        <w:rPr>
          <w:highlight w:val="white"/>
        </w:rPr>
      </w:pPr>
      <w:r>
        <w:rPr>
          <w:rFonts w:eastAsia="Calibri" w:cs="Times New Roman" w:ascii="Times New Roman" w:hAnsi="Times New Roman"/>
          <w:color w:val="1A1A1A"/>
          <w:sz w:val="24"/>
          <w:szCs w:val="24"/>
          <w:highlight w:val="white"/>
        </w:rPr>
        <w:t>Село Чорноморівка засноване в 1921 році на базі хуторів Табунне, Зоря, Іванівка. В різні часи на території села знаходились колгоспи, а в 1977 році було створено міжгосподарське об’єднання “Чорноморівське”.</w:t>
      </w:r>
    </w:p>
    <w:p>
      <w:pPr>
        <w:pStyle w:val="Normal"/>
        <w:spacing w:lineRule="auto" w:line="240" w:before="120" w:after="0"/>
        <w:ind w:firstLine="709"/>
        <w:jc w:val="both"/>
        <w:rPr>
          <w:rFonts w:ascii="Times New Roman" w:hAnsi="Times New Roman" w:eastAsia="Calibri" w:cs="Times New Roman"/>
          <w:color w:val="1A1A1A"/>
          <w:sz w:val="24"/>
          <w:szCs w:val="24"/>
        </w:rPr>
      </w:pPr>
      <w:r>
        <w:rPr>
          <w:rFonts w:eastAsia="Calibri" w:cs="Times New Roman" w:ascii="Times New Roman" w:hAnsi="Times New Roman"/>
          <w:i/>
          <w:iCs/>
          <w:color w:val="1A1A1A"/>
          <w:sz w:val="24"/>
          <w:szCs w:val="24"/>
          <w:u w:val="single"/>
        </w:rPr>
        <w:t>Корисні копалини</w:t>
      </w:r>
    </w:p>
    <w:p>
      <w:pPr>
        <w:pStyle w:val="Normal"/>
        <w:spacing w:lineRule="auto" w:line="240" w:before="120" w:after="0"/>
        <w:ind w:firstLine="709"/>
        <w:jc w:val="both"/>
        <w:rPr>
          <w:rFonts w:ascii="Times New Roman" w:hAnsi="Times New Roman" w:eastAsia="Calibri" w:cs="Times New Roman"/>
          <w:color w:val="1A1A1A"/>
          <w:sz w:val="24"/>
          <w:szCs w:val="24"/>
        </w:rPr>
      </w:pPr>
      <w:r>
        <w:rPr>
          <w:rFonts w:eastAsia="Calibri" w:cs="Times New Roman" w:ascii="Times New Roman" w:hAnsi="Times New Roman"/>
          <w:color w:val="1A1A1A"/>
          <w:sz w:val="24"/>
          <w:szCs w:val="24"/>
        </w:rPr>
        <w:t>В геоструктурному відношенні територія приурочена до північного крила Причорноморської западини. В геологічній будові території приймає участь цілий комплекс осадових відкладів, які перекривають докембрійський фундамент і кору вивітрювання – крейдяних, палеогенових, неогенових і четвертинних систем значної потужності. Сучасну геологічну основу представляють піщані відклади, лесовидні супіски та сформовані поза межами піщаних арен легкі суглинки. Нижче залягає піщано-суглиниста товща алювіальних відкладів неогену. В придніпровській частині алювіально-дельтові відклади підстилаються розмитими вапняково-мергельними відкладами.</w:t>
      </w:r>
    </w:p>
    <w:p>
      <w:pPr>
        <w:pStyle w:val="Normal"/>
        <w:spacing w:lineRule="auto" w:line="240" w:before="0" w:after="0"/>
        <w:ind w:firstLine="709"/>
        <w:jc w:val="both"/>
        <w:rPr>
          <w:rFonts w:ascii="Times New Roman" w:hAnsi="Times New Roman" w:eastAsia="Calibri" w:cs="Times New Roman"/>
          <w:color w:val="1A1A1A"/>
          <w:sz w:val="24"/>
          <w:szCs w:val="24"/>
        </w:rPr>
      </w:pPr>
      <w:r>
        <w:rPr>
          <w:rFonts w:eastAsia="Calibri" w:cs="Times New Roman" w:ascii="Times New Roman" w:hAnsi="Times New Roman"/>
          <w:color w:val="1A1A1A"/>
          <w:sz w:val="24"/>
          <w:szCs w:val="24"/>
        </w:rPr>
        <w:t xml:space="preserve">У гідрогеологічному відношенні громада розташована в умовах сприятливих для накопичення підземних вод. </w:t>
      </w:r>
      <w:bookmarkStart w:id="33" w:name="_Toc360243"/>
      <w:r>
        <w:rPr>
          <w:rFonts w:eastAsia="Calibri" w:cs="Times New Roman" w:ascii="Times New Roman" w:hAnsi="Times New Roman"/>
          <w:color w:val="1A1A1A"/>
          <w:sz w:val="24"/>
          <w:szCs w:val="24"/>
        </w:rPr>
        <w:t>Крім прісних підземних вод, в місті є мінерально-лікувальні води родовища «Гаряче джерело», які використовуються для бальнеологічних цілей у лікувально-профілактичному закладі. Підземні води родовища використовуються для промислового розливу води «Каховка» з метою вживання як природної мінеральної столової води. Тобто мінеральні води родовища є ресурсною основою для використання їх в рекреаційно-оздоровчих цілях. Власником, який має спецдозвіл на водокористування з 2011 по 2031 роки, є ТОВ «Тройка».</w:t>
      </w:r>
    </w:p>
    <w:p>
      <w:pPr>
        <w:pStyle w:val="Normal"/>
        <w:spacing w:lineRule="auto" w:line="240" w:before="0" w:after="0"/>
        <w:ind w:firstLine="709"/>
        <w:jc w:val="both"/>
        <w:rPr>
          <w:rFonts w:ascii="Times New Roman" w:hAnsi="Times New Roman" w:eastAsia="Calibri" w:cs="Times New Roman"/>
          <w:color w:val="1A1A1A"/>
          <w:sz w:val="24"/>
          <w:szCs w:val="24"/>
        </w:rPr>
      </w:pPr>
      <w:r>
        <w:rPr>
          <w:rFonts w:eastAsia="Calibri" w:cs="Times New Roman" w:ascii="Times New Roman" w:hAnsi="Times New Roman"/>
          <w:color w:val="1A1A1A"/>
          <w:sz w:val="24"/>
          <w:szCs w:val="24"/>
        </w:rPr>
        <w:t>Із інших сировинних природних ресурсів громади є розвідані родовища будівельних матеріалів - каменю будівельного та цегельно-черепичної сировини, які на даному етапі не розробляються. Це:</w:t>
      </w:r>
    </w:p>
    <w:p>
      <w:pPr>
        <w:pStyle w:val="Normal"/>
        <w:spacing w:lineRule="auto" w:line="240" w:before="0" w:after="0"/>
        <w:jc w:val="both"/>
        <w:rPr>
          <w:rFonts w:ascii="Times New Roman" w:hAnsi="Times New Roman" w:eastAsia="Calibri" w:cs="Times New Roman"/>
          <w:color w:val="1A1A1A"/>
          <w:sz w:val="24"/>
          <w:szCs w:val="24"/>
        </w:rPr>
      </w:pPr>
      <w:r>
        <w:rPr>
          <w:rFonts w:eastAsia="Calibri" w:cs="Times New Roman" w:ascii="Times New Roman" w:hAnsi="Times New Roman"/>
          <w:color w:val="1A1A1A"/>
          <w:sz w:val="24"/>
          <w:szCs w:val="24"/>
        </w:rPr>
        <w:t>- Любимівське родовище суглинків та глин (запаси на 01.01.2018 – по категоріях В+С1 = 1705 тис. м3, затверджене у 1969 році);</w:t>
      </w:r>
    </w:p>
    <w:p>
      <w:pPr>
        <w:pStyle w:val="Normal"/>
        <w:spacing w:lineRule="auto" w:line="240" w:before="0" w:after="0"/>
        <w:jc w:val="both"/>
        <w:rPr>
          <w:rFonts w:ascii="Times New Roman" w:hAnsi="Times New Roman" w:eastAsia="Calibri" w:cs="Times New Roman"/>
          <w:color w:val="1A1A1A"/>
          <w:sz w:val="24"/>
          <w:szCs w:val="24"/>
        </w:rPr>
      </w:pPr>
      <w:r>
        <w:rPr>
          <w:rFonts w:eastAsia="Calibri" w:cs="Times New Roman" w:ascii="Times New Roman" w:hAnsi="Times New Roman"/>
          <w:color w:val="1A1A1A"/>
          <w:sz w:val="24"/>
          <w:szCs w:val="24"/>
        </w:rPr>
        <w:t xml:space="preserve">- Василівське родовище вапняків (запаси по кат. А = 356 тис. м3, затверджене у 1984 році) </w:t>
      </w:r>
    </w:p>
    <w:p>
      <w:pPr>
        <w:pStyle w:val="Normal"/>
        <w:spacing w:lineRule="auto" w:line="240" w:before="0" w:after="0"/>
        <w:ind w:firstLine="709"/>
        <w:jc w:val="both"/>
        <w:rPr>
          <w:rFonts w:ascii="Times New Roman" w:hAnsi="Times New Roman" w:eastAsia="Calibri" w:cs="Times New Roman"/>
          <w:color w:val="1A1A1A"/>
          <w:sz w:val="24"/>
          <w:szCs w:val="24"/>
        </w:rPr>
      </w:pPr>
      <w:r>
        <w:rPr>
          <w:rFonts w:eastAsia="Calibri" w:cs="Times New Roman" w:ascii="Times New Roman" w:hAnsi="Times New Roman"/>
          <w:color w:val="1A1A1A"/>
          <w:sz w:val="24"/>
          <w:szCs w:val="24"/>
        </w:rPr>
        <w:t>Також, є нерозвідані родовища, які епізодично розробляються підприємствами різних форм власності і представлені цегельно-черепичною сировиною, вапняками, пісками для бетонних та силікатних виробів.</w:t>
      </w:r>
    </w:p>
    <w:p>
      <w:pPr>
        <w:pStyle w:val="Normal"/>
        <w:spacing w:lineRule="auto" w:line="240" w:before="0" w:after="0"/>
        <w:ind w:firstLine="709"/>
        <w:jc w:val="both"/>
        <w:rPr>
          <w:rFonts w:ascii="Times New Roman" w:hAnsi="Times New Roman" w:eastAsia="Calibri" w:cs="Times New Roman"/>
          <w:color w:val="1A1A1A"/>
          <w:sz w:val="24"/>
          <w:szCs w:val="24"/>
        </w:rPr>
      </w:pPr>
      <w:r>
        <w:rPr>
          <w:rFonts w:eastAsia="Calibri" w:cs="Times New Roman" w:ascii="Times New Roman" w:hAnsi="Times New Roman"/>
          <w:color w:val="1A1A1A"/>
          <w:sz w:val="24"/>
          <w:szCs w:val="24"/>
        </w:rPr>
      </w:r>
    </w:p>
    <w:p>
      <w:pPr>
        <w:pStyle w:val="Normal"/>
        <w:spacing w:lineRule="auto" w:line="240" w:before="120" w:after="0"/>
        <w:ind w:firstLine="709"/>
        <w:jc w:val="both"/>
        <w:rPr>
          <w:rFonts w:ascii="Times New Roman" w:hAnsi="Times New Roman" w:eastAsia="Calibri" w:cs="Times New Roman"/>
          <w:i/>
          <w:i/>
          <w:iCs/>
          <w:color w:val="1A1A1A"/>
          <w:sz w:val="24"/>
          <w:szCs w:val="24"/>
          <w:u w:val="single"/>
        </w:rPr>
      </w:pPr>
      <w:r>
        <w:rPr>
          <w:rFonts w:eastAsia="Calibri" w:cs="Times New Roman" w:ascii="Times New Roman" w:hAnsi="Times New Roman"/>
          <w:i/>
          <w:iCs/>
          <w:color w:val="1A1A1A"/>
          <w:sz w:val="24"/>
          <w:szCs w:val="24"/>
          <w:u w:val="single"/>
        </w:rPr>
        <w:t>Природно-ресурсний потенціал, кліматичні умови</w:t>
      </w:r>
    </w:p>
    <w:p>
      <w:pPr>
        <w:pStyle w:val="Normal"/>
        <w:spacing w:lineRule="auto" w:line="240" w:before="120" w:after="0"/>
        <w:ind w:firstLine="709"/>
        <w:jc w:val="both"/>
        <w:rPr>
          <w:rFonts w:ascii="Times New Roman" w:hAnsi="Times New Roman" w:eastAsia="Calibri" w:cs="Times New Roman"/>
          <w:color w:val="1A1A1A"/>
          <w:sz w:val="24"/>
          <w:szCs w:val="24"/>
        </w:rPr>
      </w:pPr>
      <w:r>
        <w:rPr>
          <w:rFonts w:eastAsia="Calibri" w:cs="Times New Roman" w:ascii="Times New Roman" w:hAnsi="Times New Roman"/>
          <w:color w:val="1A1A1A"/>
          <w:sz w:val="24"/>
          <w:szCs w:val="24"/>
        </w:rPr>
        <w:t>Каховська територіальна громада розташована в степовій зоні, на лівому березі Каховського водосховища. У фізико-географічному відношенні територія знаходиться в межі Причорноморської південно-степової провінції (Дніпровсько-Молочанська степова область Причорноморської низовини) на Дніпровській терасовій рівнині з яружно-балковими типами місцевостей вздовж кромки водосховища та слабохвилястими між балковими водорозділами, наявністю в різній мірі еродованих чорноземів. Частина території вкрита дюнними пісками, які частково заліснені і сприятливі для рекреаційного використання, особливо в прибережній смузі.</w:t>
      </w:r>
    </w:p>
    <w:p>
      <w:pPr>
        <w:pStyle w:val="Normal"/>
        <w:spacing w:lineRule="auto" w:line="240" w:before="120" w:after="120"/>
        <w:ind w:firstLine="709"/>
        <w:jc w:val="both"/>
        <w:rPr>
          <w:rFonts w:ascii="Times New Roman" w:hAnsi="Times New Roman" w:eastAsia="Calibri" w:cs="Times New Roman"/>
          <w:color w:val="1A1A1A"/>
          <w:sz w:val="24"/>
          <w:szCs w:val="24"/>
        </w:rPr>
      </w:pPr>
      <w:r>
        <w:rPr>
          <w:rFonts w:eastAsia="Calibri" w:cs="Times New Roman" w:ascii="Times New Roman" w:hAnsi="Times New Roman"/>
          <w:color w:val="1A1A1A"/>
          <w:sz w:val="24"/>
          <w:szCs w:val="24"/>
        </w:rPr>
        <w:t xml:space="preserve">Клімат помірно континентальний з жарким, сухим та тривалим літом, з характерними посушливо-суховійними явищами, і м’якою, слабоморозною з частими відлигами та туманами зимою. Клімату притаманні літні суховії – великі вітри при низькій вологості та високих температурах повітря. Вітрові маси з материка обумовлюють низькі температури взимку з холодними, а восени та влітку – сухими гарячими вітрами. Особливості кліматичних умов території зумовлені піщаним субстратом поверхні, який збільшує посушливість клімату. Основні метеорологічні показники наведені в таблиці 3. </w:t>
      </w:r>
    </w:p>
    <w:tbl>
      <w:tblPr>
        <w:tblW w:w="9923" w:type="dxa"/>
        <w:jc w:val="left"/>
        <w:tblInd w:w="106" w:type="dxa"/>
        <w:tblBorders>
          <w:top w:val="single" w:sz="4" w:space="0" w:color="000001"/>
          <w:left w:val="single" w:sz="4" w:space="0" w:color="000001"/>
          <w:bottom w:val="single" w:sz="4" w:space="0" w:color="000001"/>
          <w:insideH w:val="single" w:sz="4" w:space="0" w:color="000001"/>
        </w:tblBorders>
        <w:tblCellMar>
          <w:top w:w="0" w:type="dxa"/>
          <w:left w:w="13" w:type="dxa"/>
          <w:bottom w:w="0" w:type="dxa"/>
          <w:right w:w="108" w:type="dxa"/>
        </w:tblCellMar>
        <w:tblLook w:val="04a0" w:noVBand="1" w:noHBand="0" w:lastColumn="0" w:firstColumn="1" w:lastRow="0" w:firstRow="1"/>
      </w:tblPr>
      <w:tblGrid>
        <w:gridCol w:w="5811"/>
        <w:gridCol w:w="4111"/>
      </w:tblGrid>
      <w:tr>
        <w:trPr>
          <w:tblHeader w:val="true"/>
          <w:cantSplit w:val="true"/>
        </w:trPr>
        <w:tc>
          <w:tcPr>
            <w:tcW w:w="5811" w:type="dxa"/>
            <w:tcBorders>
              <w:top w:val="single" w:sz="4" w:space="0" w:color="000001"/>
              <w:left w:val="single" w:sz="4" w:space="0" w:color="000001"/>
              <w:bottom w:val="single" w:sz="4" w:space="0" w:color="000001"/>
              <w:insideH w:val="single" w:sz="4" w:space="0" w:color="000001"/>
            </w:tcBorders>
            <w:shd w:color="auto" w:fill="auto" w:val="clear"/>
            <w:tcMar>
              <w:left w:w="13" w:type="dxa"/>
            </w:tcMar>
            <w:vAlign w:val="center"/>
          </w:tcPr>
          <w:p>
            <w:pPr>
              <w:pStyle w:val="Style23"/>
              <w:keepLines/>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Метеорологічні показники</w:t>
            </w:r>
          </w:p>
        </w:tc>
        <w:tc>
          <w:tcPr>
            <w:tcW w:w="41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3" w:type="dxa"/>
            </w:tcMar>
            <w:vAlign w:val="center"/>
          </w:tcPr>
          <w:p>
            <w:pPr>
              <w:pStyle w:val="Style23"/>
              <w:keepLines/>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Цифрові величини</w:t>
            </w:r>
          </w:p>
        </w:tc>
      </w:tr>
      <w:tr>
        <w:trPr>
          <w:cantSplit w:val="true"/>
        </w:trPr>
        <w:tc>
          <w:tcPr>
            <w:tcW w:w="5811" w:type="dxa"/>
            <w:tcBorders>
              <w:top w:val="single" w:sz="4" w:space="0" w:color="000001"/>
              <w:left w:val="single" w:sz="4" w:space="0" w:color="000001"/>
              <w:bottom w:val="single" w:sz="4" w:space="0" w:color="000001"/>
              <w:insideH w:val="single" w:sz="4" w:space="0" w:color="000001"/>
            </w:tcBorders>
            <w:shd w:color="auto" w:fill="auto" w:val="clear"/>
            <w:tcMar>
              <w:left w:w="13" w:type="dxa"/>
            </w:tcMar>
          </w:tcPr>
          <w:p>
            <w:pPr>
              <w:pStyle w:val="Style23"/>
              <w:keepLines/>
              <w:spacing w:lineRule="auto" w:line="240" w:before="0" w:after="0"/>
              <w:rPr>
                <w:rFonts w:ascii="Times New Roman" w:hAnsi="Times New Roman" w:cs="Times New Roman"/>
                <w:sz w:val="24"/>
                <w:szCs w:val="24"/>
              </w:rPr>
            </w:pPr>
            <w:r>
              <w:rPr>
                <w:rFonts w:cs="Times New Roman" w:ascii="Times New Roman" w:hAnsi="Times New Roman"/>
                <w:sz w:val="24"/>
                <w:szCs w:val="24"/>
              </w:rPr>
              <w:t>Температура повітря, С°: середня</w:t>
            </w:r>
          </w:p>
          <w:p>
            <w:pPr>
              <w:pStyle w:val="Style23"/>
              <w:keepLines/>
              <w:numPr>
                <w:ilvl w:val="0"/>
                <w:numId w:val="14"/>
              </w:numPr>
              <w:spacing w:lineRule="auto" w:line="240" w:before="0" w:after="0"/>
              <w:rPr>
                <w:rFonts w:ascii="Times New Roman" w:hAnsi="Times New Roman" w:cs="Times New Roman"/>
                <w:sz w:val="24"/>
                <w:szCs w:val="24"/>
              </w:rPr>
            </w:pPr>
            <w:r>
              <w:rPr>
                <w:rFonts w:cs="Times New Roman" w:ascii="Times New Roman" w:hAnsi="Times New Roman"/>
                <w:sz w:val="24"/>
                <w:szCs w:val="24"/>
              </w:rPr>
              <w:t>липня</w:t>
            </w:r>
          </w:p>
          <w:p>
            <w:pPr>
              <w:pStyle w:val="Style23"/>
              <w:keepLines/>
              <w:numPr>
                <w:ilvl w:val="0"/>
                <w:numId w:val="14"/>
              </w:numPr>
              <w:spacing w:lineRule="auto" w:line="240" w:before="0" w:after="0"/>
              <w:rPr>
                <w:rFonts w:ascii="Times New Roman" w:hAnsi="Times New Roman" w:cs="Times New Roman"/>
                <w:sz w:val="24"/>
                <w:szCs w:val="24"/>
              </w:rPr>
            </w:pPr>
            <w:r>
              <w:rPr>
                <w:rFonts w:cs="Times New Roman" w:ascii="Times New Roman" w:hAnsi="Times New Roman"/>
                <w:sz w:val="24"/>
                <w:szCs w:val="24"/>
              </w:rPr>
              <w:t>січня</w:t>
            </w:r>
          </w:p>
        </w:tc>
        <w:tc>
          <w:tcPr>
            <w:tcW w:w="41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3" w:type="dxa"/>
            </w:tcMar>
          </w:tcPr>
          <w:p>
            <w:pPr>
              <w:pStyle w:val="Style23"/>
              <w:keepLines/>
              <w:spacing w:lineRule="auto" w:line="240" w:before="0" w:after="0"/>
              <w:rPr>
                <w:rFonts w:ascii="Times New Roman" w:hAnsi="Times New Roman" w:cs="Times New Roman"/>
                <w:sz w:val="24"/>
                <w:szCs w:val="24"/>
              </w:rPr>
            </w:pPr>
            <w:r>
              <w:rPr>
                <w:rFonts w:cs="Times New Roman" w:ascii="Times New Roman" w:hAnsi="Times New Roman"/>
                <w:sz w:val="24"/>
                <w:szCs w:val="24"/>
              </w:rPr>
              <w:t>9.8°</w:t>
            </w:r>
          </w:p>
          <w:p>
            <w:pPr>
              <w:pStyle w:val="Style23"/>
              <w:keepLines/>
              <w:spacing w:lineRule="auto" w:line="240" w:before="0" w:after="0"/>
              <w:rPr>
                <w:rFonts w:ascii="Times New Roman" w:hAnsi="Times New Roman" w:cs="Times New Roman"/>
                <w:sz w:val="24"/>
                <w:szCs w:val="24"/>
              </w:rPr>
            </w:pPr>
            <w:r>
              <w:rPr>
                <w:rFonts w:cs="Times New Roman" w:ascii="Times New Roman" w:hAnsi="Times New Roman"/>
                <w:sz w:val="24"/>
                <w:szCs w:val="24"/>
              </w:rPr>
              <w:t>23°</w:t>
            </w:r>
          </w:p>
          <w:p>
            <w:pPr>
              <w:pStyle w:val="Style23"/>
              <w:keepLines/>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мінус 3.3° </w:t>
            </w:r>
          </w:p>
        </w:tc>
      </w:tr>
      <w:tr>
        <w:trPr>
          <w:cantSplit w:val="true"/>
        </w:trPr>
        <w:tc>
          <w:tcPr>
            <w:tcW w:w="5811" w:type="dxa"/>
            <w:tcBorders>
              <w:top w:val="single" w:sz="4" w:space="0" w:color="000001"/>
              <w:left w:val="single" w:sz="4" w:space="0" w:color="000001"/>
              <w:bottom w:val="single" w:sz="4" w:space="0" w:color="000001"/>
              <w:insideH w:val="single" w:sz="4" w:space="0" w:color="000001"/>
            </w:tcBorders>
            <w:shd w:color="auto" w:fill="auto" w:val="clear"/>
            <w:tcMar>
              <w:left w:w="13" w:type="dxa"/>
            </w:tcMar>
          </w:tcPr>
          <w:p>
            <w:pPr>
              <w:pStyle w:val="Style23"/>
              <w:keepLines/>
              <w:spacing w:lineRule="auto" w:line="240" w:before="0" w:after="0"/>
              <w:rPr>
                <w:rFonts w:ascii="Times New Roman" w:hAnsi="Times New Roman" w:cs="Times New Roman"/>
                <w:sz w:val="24"/>
                <w:szCs w:val="24"/>
              </w:rPr>
            </w:pPr>
            <w:r>
              <w:rPr>
                <w:rFonts w:cs="Times New Roman" w:ascii="Times New Roman" w:hAnsi="Times New Roman"/>
                <w:sz w:val="24"/>
                <w:szCs w:val="24"/>
              </w:rPr>
              <w:t>Температура повітря абс. макс., С°</w:t>
            </w:r>
          </w:p>
        </w:tc>
        <w:tc>
          <w:tcPr>
            <w:tcW w:w="41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3" w:type="dxa"/>
            </w:tcMar>
          </w:tcPr>
          <w:p>
            <w:pPr>
              <w:pStyle w:val="Style23"/>
              <w:keepLines/>
              <w:spacing w:lineRule="auto" w:line="240" w:before="0" w:after="0"/>
              <w:rPr>
                <w:rFonts w:ascii="Times New Roman" w:hAnsi="Times New Roman" w:cs="Times New Roman"/>
                <w:sz w:val="24"/>
                <w:szCs w:val="24"/>
              </w:rPr>
            </w:pPr>
            <w:r>
              <w:rPr>
                <w:rFonts w:cs="Times New Roman" w:ascii="Times New Roman" w:hAnsi="Times New Roman"/>
                <w:sz w:val="24"/>
                <w:szCs w:val="24"/>
              </w:rPr>
              <w:t>39°</w:t>
            </w:r>
          </w:p>
        </w:tc>
      </w:tr>
      <w:tr>
        <w:trPr>
          <w:cantSplit w:val="true"/>
        </w:trPr>
        <w:tc>
          <w:tcPr>
            <w:tcW w:w="5811" w:type="dxa"/>
            <w:tcBorders>
              <w:top w:val="single" w:sz="4" w:space="0" w:color="000001"/>
              <w:left w:val="single" w:sz="4" w:space="0" w:color="000001"/>
              <w:bottom w:val="single" w:sz="4" w:space="0" w:color="000001"/>
              <w:insideH w:val="single" w:sz="4" w:space="0" w:color="000001"/>
            </w:tcBorders>
            <w:shd w:color="auto" w:fill="auto" w:val="clear"/>
            <w:tcMar>
              <w:left w:w="13" w:type="dxa"/>
            </w:tcMar>
          </w:tcPr>
          <w:p>
            <w:pPr>
              <w:pStyle w:val="Style23"/>
              <w:keepLines/>
              <w:spacing w:lineRule="auto" w:line="240" w:before="0" w:after="0"/>
              <w:rPr>
                <w:rFonts w:ascii="Times New Roman" w:hAnsi="Times New Roman" w:cs="Times New Roman"/>
                <w:sz w:val="24"/>
                <w:szCs w:val="24"/>
              </w:rPr>
            </w:pPr>
            <w:r>
              <w:rPr>
                <w:rFonts w:cs="Times New Roman" w:ascii="Times New Roman" w:hAnsi="Times New Roman"/>
                <w:sz w:val="24"/>
                <w:szCs w:val="24"/>
              </w:rPr>
              <w:t>Температура повітря абс. мін., С°</w:t>
            </w:r>
          </w:p>
        </w:tc>
        <w:tc>
          <w:tcPr>
            <w:tcW w:w="41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3" w:type="dxa"/>
            </w:tcMar>
          </w:tcPr>
          <w:p>
            <w:pPr>
              <w:pStyle w:val="Style23"/>
              <w:keepLines/>
              <w:spacing w:lineRule="auto" w:line="240" w:before="0" w:after="0"/>
              <w:rPr>
                <w:rFonts w:ascii="Times New Roman" w:hAnsi="Times New Roman" w:cs="Times New Roman"/>
                <w:sz w:val="24"/>
                <w:szCs w:val="24"/>
              </w:rPr>
            </w:pPr>
            <w:r>
              <w:rPr>
                <w:rFonts w:cs="Times New Roman" w:ascii="Times New Roman" w:hAnsi="Times New Roman"/>
                <w:sz w:val="24"/>
                <w:szCs w:val="24"/>
              </w:rPr>
              <w:t>мінус 33°</w:t>
            </w:r>
          </w:p>
        </w:tc>
      </w:tr>
      <w:tr>
        <w:trPr>
          <w:cantSplit w:val="true"/>
        </w:trPr>
        <w:tc>
          <w:tcPr>
            <w:tcW w:w="5811" w:type="dxa"/>
            <w:tcBorders>
              <w:top w:val="single" w:sz="4" w:space="0" w:color="000001"/>
              <w:left w:val="single" w:sz="4" w:space="0" w:color="000001"/>
              <w:bottom w:val="single" w:sz="4" w:space="0" w:color="000001"/>
              <w:insideH w:val="single" w:sz="4" w:space="0" w:color="000001"/>
            </w:tcBorders>
            <w:shd w:color="auto" w:fill="auto" w:val="clear"/>
            <w:tcMar>
              <w:left w:w="13" w:type="dxa"/>
            </w:tcMar>
          </w:tcPr>
          <w:p>
            <w:pPr>
              <w:pStyle w:val="Style23"/>
              <w:keepLines/>
              <w:spacing w:lineRule="auto" w:line="240" w:before="0" w:after="0"/>
              <w:rPr>
                <w:rFonts w:ascii="Times New Roman" w:hAnsi="Times New Roman" w:cs="Times New Roman"/>
                <w:sz w:val="24"/>
                <w:szCs w:val="24"/>
              </w:rPr>
            </w:pPr>
            <w:r>
              <w:rPr>
                <w:rFonts w:cs="Times New Roman" w:ascii="Times New Roman" w:hAnsi="Times New Roman"/>
                <w:sz w:val="24"/>
                <w:szCs w:val="24"/>
              </w:rPr>
              <w:t>Тривалість сонячного сяйва за рік</w:t>
            </w:r>
          </w:p>
        </w:tc>
        <w:tc>
          <w:tcPr>
            <w:tcW w:w="41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3" w:type="dxa"/>
            </w:tcMar>
          </w:tcPr>
          <w:p>
            <w:pPr>
              <w:pStyle w:val="Style23"/>
              <w:keepLines/>
              <w:spacing w:lineRule="auto" w:line="240" w:before="0" w:after="0"/>
              <w:rPr>
                <w:rFonts w:ascii="Times New Roman" w:hAnsi="Times New Roman" w:cs="Times New Roman"/>
                <w:sz w:val="24"/>
                <w:szCs w:val="24"/>
              </w:rPr>
            </w:pPr>
            <w:r>
              <w:rPr>
                <w:rFonts w:cs="Times New Roman" w:ascii="Times New Roman" w:hAnsi="Times New Roman"/>
                <w:sz w:val="24"/>
                <w:szCs w:val="24"/>
              </w:rPr>
              <w:t>понад 2300 год.</w:t>
            </w:r>
          </w:p>
        </w:tc>
      </w:tr>
      <w:tr>
        <w:trPr>
          <w:cantSplit w:val="true"/>
        </w:trPr>
        <w:tc>
          <w:tcPr>
            <w:tcW w:w="5811" w:type="dxa"/>
            <w:tcBorders>
              <w:top w:val="single" w:sz="4" w:space="0" w:color="000001"/>
              <w:left w:val="single" w:sz="4" w:space="0" w:color="000001"/>
              <w:bottom w:val="single" w:sz="4" w:space="0" w:color="000001"/>
              <w:insideH w:val="single" w:sz="4" w:space="0" w:color="000001"/>
            </w:tcBorders>
            <w:shd w:color="auto" w:fill="auto" w:val="clear"/>
            <w:tcMar>
              <w:left w:w="13" w:type="dxa"/>
            </w:tcMar>
          </w:tcPr>
          <w:p>
            <w:pPr>
              <w:pStyle w:val="Style23"/>
              <w:keepLines/>
              <w:spacing w:lineRule="auto" w:line="240" w:before="0" w:after="0"/>
              <w:rPr>
                <w:rFonts w:ascii="Times New Roman" w:hAnsi="Times New Roman" w:cs="Times New Roman"/>
                <w:sz w:val="24"/>
                <w:szCs w:val="24"/>
              </w:rPr>
            </w:pPr>
            <w:r>
              <w:rPr>
                <w:rFonts w:cs="Times New Roman" w:ascii="Times New Roman" w:hAnsi="Times New Roman"/>
                <w:sz w:val="24"/>
                <w:szCs w:val="24"/>
              </w:rPr>
              <w:t>Тривалість безморозного періоду</w:t>
            </w:r>
          </w:p>
        </w:tc>
        <w:tc>
          <w:tcPr>
            <w:tcW w:w="41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3" w:type="dxa"/>
            </w:tcMar>
          </w:tcPr>
          <w:p>
            <w:pPr>
              <w:pStyle w:val="Style23"/>
              <w:keepLines/>
              <w:spacing w:lineRule="auto" w:line="240" w:before="0" w:after="0"/>
              <w:rPr>
                <w:rFonts w:ascii="Times New Roman" w:hAnsi="Times New Roman" w:cs="Times New Roman"/>
                <w:sz w:val="24"/>
                <w:szCs w:val="24"/>
              </w:rPr>
            </w:pPr>
            <w:r>
              <w:rPr>
                <w:rFonts w:cs="Times New Roman" w:ascii="Times New Roman" w:hAnsi="Times New Roman"/>
                <w:sz w:val="24"/>
                <w:szCs w:val="24"/>
              </w:rPr>
              <w:t>183дні</w:t>
            </w:r>
          </w:p>
        </w:tc>
      </w:tr>
      <w:tr>
        <w:trPr>
          <w:cantSplit w:val="true"/>
        </w:trPr>
        <w:tc>
          <w:tcPr>
            <w:tcW w:w="5811" w:type="dxa"/>
            <w:tcBorders>
              <w:top w:val="single" w:sz="4" w:space="0" w:color="000001"/>
              <w:left w:val="single" w:sz="4" w:space="0" w:color="000001"/>
              <w:bottom w:val="single" w:sz="4" w:space="0" w:color="000001"/>
              <w:insideH w:val="single" w:sz="4" w:space="0" w:color="000001"/>
            </w:tcBorders>
            <w:shd w:color="auto" w:fill="auto" w:val="clear"/>
            <w:tcMar>
              <w:left w:w="13" w:type="dxa"/>
            </w:tcMar>
          </w:tcPr>
          <w:p>
            <w:pPr>
              <w:pStyle w:val="Style23"/>
              <w:keepLines/>
              <w:spacing w:lineRule="auto" w:line="240" w:before="0" w:after="0"/>
              <w:rPr>
                <w:rFonts w:ascii="Times New Roman" w:hAnsi="Times New Roman" w:cs="Times New Roman"/>
                <w:sz w:val="24"/>
                <w:szCs w:val="24"/>
              </w:rPr>
            </w:pPr>
            <w:r>
              <w:rPr>
                <w:rFonts w:cs="Times New Roman" w:ascii="Times New Roman" w:hAnsi="Times New Roman"/>
                <w:sz w:val="24"/>
                <w:szCs w:val="24"/>
              </w:rPr>
              <w:t>Тривалість опалювального періоду</w:t>
            </w:r>
          </w:p>
          <w:p>
            <w:pPr>
              <w:pStyle w:val="Style23"/>
              <w:keepLines/>
              <w:numPr>
                <w:ilvl w:val="0"/>
                <w:numId w:val="14"/>
              </w:numPr>
              <w:spacing w:lineRule="auto" w:line="240" w:before="0" w:after="0"/>
              <w:rPr>
                <w:rFonts w:ascii="Times New Roman" w:hAnsi="Times New Roman" w:cs="Times New Roman"/>
                <w:sz w:val="24"/>
                <w:szCs w:val="24"/>
              </w:rPr>
            </w:pPr>
            <w:r>
              <w:rPr>
                <w:rFonts w:cs="Times New Roman" w:ascii="Times New Roman" w:hAnsi="Times New Roman"/>
                <w:sz w:val="24"/>
                <w:szCs w:val="24"/>
              </w:rPr>
              <w:t>його середня Т°С°</w:t>
            </w:r>
          </w:p>
        </w:tc>
        <w:tc>
          <w:tcPr>
            <w:tcW w:w="41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3" w:type="dxa"/>
            </w:tcMar>
          </w:tcPr>
          <w:p>
            <w:pPr>
              <w:pStyle w:val="Style23"/>
              <w:keepLines/>
              <w:spacing w:lineRule="auto" w:line="240" w:before="0" w:after="0"/>
              <w:rPr>
                <w:rFonts w:ascii="Times New Roman" w:hAnsi="Times New Roman" w:cs="Times New Roman"/>
                <w:sz w:val="24"/>
                <w:szCs w:val="24"/>
              </w:rPr>
            </w:pPr>
            <w:r>
              <w:rPr>
                <w:rFonts w:cs="Times New Roman" w:ascii="Times New Roman" w:hAnsi="Times New Roman"/>
                <w:sz w:val="24"/>
                <w:szCs w:val="24"/>
              </w:rPr>
              <w:t>166 діб</w:t>
            </w:r>
          </w:p>
          <w:p>
            <w:pPr>
              <w:pStyle w:val="Style23"/>
              <w:keepLines/>
              <w:spacing w:lineRule="auto" w:line="240" w:before="0" w:after="0"/>
              <w:rPr>
                <w:rFonts w:ascii="Times New Roman" w:hAnsi="Times New Roman" w:cs="Times New Roman"/>
                <w:sz w:val="24"/>
                <w:szCs w:val="24"/>
              </w:rPr>
            </w:pPr>
            <w:r>
              <w:rPr>
                <w:rFonts w:cs="Times New Roman" w:ascii="Times New Roman" w:hAnsi="Times New Roman"/>
                <w:sz w:val="24"/>
                <w:szCs w:val="24"/>
              </w:rPr>
              <w:t>0.6°</w:t>
            </w:r>
          </w:p>
        </w:tc>
      </w:tr>
      <w:tr>
        <w:trPr>
          <w:cantSplit w:val="true"/>
        </w:trPr>
        <w:tc>
          <w:tcPr>
            <w:tcW w:w="5811" w:type="dxa"/>
            <w:tcBorders>
              <w:top w:val="single" w:sz="4" w:space="0" w:color="000001"/>
              <w:left w:val="single" w:sz="4" w:space="0" w:color="000001"/>
              <w:bottom w:val="single" w:sz="4" w:space="0" w:color="000001"/>
              <w:insideH w:val="single" w:sz="4" w:space="0" w:color="000001"/>
            </w:tcBorders>
            <w:shd w:color="auto" w:fill="auto" w:val="clear"/>
            <w:tcMar>
              <w:left w:w="13" w:type="dxa"/>
            </w:tcMar>
          </w:tcPr>
          <w:p>
            <w:pPr>
              <w:pStyle w:val="Style23"/>
              <w:keepLines/>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Глибина промерзання ґрунтів: </w:t>
            </w:r>
          </w:p>
          <w:p>
            <w:pPr>
              <w:pStyle w:val="Style23"/>
              <w:keepLines/>
              <w:spacing w:lineRule="auto" w:line="240" w:before="0" w:after="0"/>
              <w:rPr>
                <w:rFonts w:ascii="Times New Roman" w:hAnsi="Times New Roman" w:cs="Times New Roman"/>
                <w:sz w:val="24"/>
                <w:szCs w:val="24"/>
              </w:rPr>
            </w:pPr>
            <w:r>
              <w:rPr>
                <w:rFonts w:cs="Times New Roman" w:ascii="Times New Roman" w:hAnsi="Times New Roman"/>
                <w:sz w:val="24"/>
                <w:szCs w:val="24"/>
              </w:rPr>
              <w:t>середня, найменша, найбільша</w:t>
            </w:r>
          </w:p>
        </w:tc>
        <w:tc>
          <w:tcPr>
            <w:tcW w:w="41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3" w:type="dxa"/>
            </w:tcMar>
          </w:tcPr>
          <w:p>
            <w:pPr>
              <w:pStyle w:val="Style23"/>
              <w:keepLines/>
              <w:snapToGrid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Style23"/>
              <w:keepLines/>
              <w:spacing w:lineRule="auto" w:line="240" w:before="0" w:after="0"/>
              <w:rPr>
                <w:rFonts w:ascii="Times New Roman" w:hAnsi="Times New Roman" w:cs="Times New Roman"/>
                <w:sz w:val="24"/>
                <w:szCs w:val="24"/>
              </w:rPr>
            </w:pPr>
            <w:r>
              <w:rPr>
                <w:rFonts w:cs="Times New Roman" w:ascii="Times New Roman" w:hAnsi="Times New Roman"/>
                <w:sz w:val="24"/>
                <w:szCs w:val="24"/>
              </w:rPr>
              <w:t>55 см, 16 см, 110 см</w:t>
            </w:r>
          </w:p>
        </w:tc>
      </w:tr>
      <w:tr>
        <w:trPr>
          <w:cantSplit w:val="true"/>
        </w:trPr>
        <w:tc>
          <w:tcPr>
            <w:tcW w:w="5811" w:type="dxa"/>
            <w:tcBorders>
              <w:top w:val="single" w:sz="4" w:space="0" w:color="000001"/>
              <w:left w:val="single" w:sz="4" w:space="0" w:color="000001"/>
              <w:bottom w:val="single" w:sz="4" w:space="0" w:color="000001"/>
              <w:insideH w:val="single" w:sz="4" w:space="0" w:color="000001"/>
            </w:tcBorders>
            <w:shd w:color="auto" w:fill="auto" w:val="clear"/>
            <w:tcMar>
              <w:left w:w="13" w:type="dxa"/>
            </w:tcMar>
          </w:tcPr>
          <w:p>
            <w:pPr>
              <w:pStyle w:val="Style23"/>
              <w:keepLines/>
              <w:spacing w:lineRule="auto" w:line="240" w:before="0" w:after="0"/>
              <w:rPr>
                <w:rFonts w:ascii="Times New Roman" w:hAnsi="Times New Roman" w:cs="Times New Roman"/>
                <w:sz w:val="24"/>
                <w:szCs w:val="24"/>
              </w:rPr>
            </w:pPr>
            <w:r>
              <w:rPr>
                <w:rFonts w:cs="Times New Roman" w:ascii="Times New Roman" w:hAnsi="Times New Roman"/>
                <w:sz w:val="24"/>
                <w:szCs w:val="24"/>
              </w:rPr>
              <w:t>Відносна вологість</w:t>
            </w:r>
          </w:p>
        </w:tc>
        <w:tc>
          <w:tcPr>
            <w:tcW w:w="41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3" w:type="dxa"/>
            </w:tcMar>
          </w:tcPr>
          <w:p>
            <w:pPr>
              <w:pStyle w:val="Style23"/>
              <w:keepLines/>
              <w:spacing w:lineRule="auto" w:line="240" w:before="0" w:after="0"/>
              <w:rPr>
                <w:rFonts w:ascii="Times New Roman" w:hAnsi="Times New Roman" w:cs="Times New Roman"/>
                <w:sz w:val="24"/>
                <w:szCs w:val="24"/>
              </w:rPr>
            </w:pPr>
            <w:r>
              <w:rPr>
                <w:rFonts w:cs="Times New Roman" w:ascii="Times New Roman" w:hAnsi="Times New Roman"/>
                <w:sz w:val="24"/>
                <w:szCs w:val="24"/>
              </w:rPr>
              <w:t>73%</w:t>
            </w:r>
          </w:p>
        </w:tc>
      </w:tr>
      <w:tr>
        <w:trPr>
          <w:cantSplit w:val="true"/>
        </w:trPr>
        <w:tc>
          <w:tcPr>
            <w:tcW w:w="5811" w:type="dxa"/>
            <w:tcBorders>
              <w:top w:val="single" w:sz="4" w:space="0" w:color="000001"/>
              <w:left w:val="single" w:sz="4" w:space="0" w:color="000001"/>
              <w:bottom w:val="single" w:sz="4" w:space="0" w:color="000001"/>
              <w:insideH w:val="single" w:sz="4" w:space="0" w:color="000001"/>
            </w:tcBorders>
            <w:shd w:color="auto" w:fill="auto" w:val="clear"/>
            <w:tcMar>
              <w:left w:w="13" w:type="dxa"/>
            </w:tcMar>
          </w:tcPr>
          <w:p>
            <w:pPr>
              <w:pStyle w:val="Style23"/>
              <w:keepLines/>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Опади </w:t>
            </w:r>
          </w:p>
        </w:tc>
        <w:tc>
          <w:tcPr>
            <w:tcW w:w="41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3" w:type="dxa"/>
            </w:tcMar>
          </w:tcPr>
          <w:p>
            <w:pPr>
              <w:pStyle w:val="Style23"/>
              <w:keepLines/>
              <w:spacing w:lineRule="auto" w:line="240" w:before="0" w:after="0"/>
              <w:rPr>
                <w:rFonts w:ascii="Times New Roman" w:hAnsi="Times New Roman" w:cs="Times New Roman"/>
                <w:sz w:val="24"/>
                <w:szCs w:val="24"/>
              </w:rPr>
            </w:pPr>
            <w:r>
              <w:rPr>
                <w:rFonts w:cs="Times New Roman" w:ascii="Times New Roman" w:hAnsi="Times New Roman"/>
                <w:sz w:val="24"/>
                <w:szCs w:val="24"/>
              </w:rPr>
              <w:t>367мм, із них 237мм – в теплий період</w:t>
            </w:r>
          </w:p>
        </w:tc>
      </w:tr>
      <w:tr>
        <w:trPr>
          <w:cantSplit w:val="true"/>
        </w:trPr>
        <w:tc>
          <w:tcPr>
            <w:tcW w:w="5811" w:type="dxa"/>
            <w:tcBorders>
              <w:top w:val="single" w:sz="4" w:space="0" w:color="000001"/>
              <w:left w:val="single" w:sz="4" w:space="0" w:color="000001"/>
              <w:bottom w:val="single" w:sz="4" w:space="0" w:color="000001"/>
              <w:insideH w:val="single" w:sz="4" w:space="0" w:color="000001"/>
            </w:tcBorders>
            <w:shd w:color="auto" w:fill="auto" w:val="clear"/>
            <w:tcMar>
              <w:left w:w="13" w:type="dxa"/>
            </w:tcMar>
          </w:tcPr>
          <w:p>
            <w:pPr>
              <w:pStyle w:val="Style23"/>
              <w:keepLines/>
              <w:spacing w:lineRule="auto" w:line="240" w:before="0" w:after="0"/>
              <w:rPr>
                <w:rFonts w:ascii="Times New Roman" w:hAnsi="Times New Roman" w:cs="Times New Roman"/>
                <w:sz w:val="24"/>
                <w:szCs w:val="24"/>
              </w:rPr>
            </w:pPr>
            <w:r>
              <w:rPr>
                <w:rFonts w:cs="Times New Roman" w:ascii="Times New Roman" w:hAnsi="Times New Roman"/>
                <w:sz w:val="24"/>
                <w:szCs w:val="24"/>
              </w:rPr>
              <w:t>Висота снігового покриву: середня, максимальна</w:t>
            </w:r>
          </w:p>
        </w:tc>
        <w:tc>
          <w:tcPr>
            <w:tcW w:w="41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3" w:type="dxa"/>
            </w:tcMar>
          </w:tcPr>
          <w:p>
            <w:pPr>
              <w:pStyle w:val="Style23"/>
              <w:keepLines/>
              <w:spacing w:lineRule="auto" w:line="240" w:before="0" w:after="0"/>
              <w:rPr>
                <w:rFonts w:ascii="Times New Roman" w:hAnsi="Times New Roman" w:cs="Times New Roman"/>
                <w:sz w:val="24"/>
                <w:szCs w:val="24"/>
              </w:rPr>
            </w:pPr>
            <w:r>
              <w:rPr>
                <w:rFonts w:cs="Times New Roman" w:ascii="Times New Roman" w:hAnsi="Times New Roman"/>
                <w:sz w:val="24"/>
                <w:szCs w:val="24"/>
              </w:rPr>
              <w:t>9см, 41см</w:t>
            </w:r>
          </w:p>
        </w:tc>
      </w:tr>
      <w:tr>
        <w:trPr>
          <w:cantSplit w:val="true"/>
        </w:trPr>
        <w:tc>
          <w:tcPr>
            <w:tcW w:w="5811" w:type="dxa"/>
            <w:tcBorders>
              <w:top w:val="single" w:sz="4" w:space="0" w:color="000001"/>
              <w:left w:val="single" w:sz="4" w:space="0" w:color="000001"/>
              <w:bottom w:val="single" w:sz="4" w:space="0" w:color="000001"/>
              <w:insideH w:val="single" w:sz="4" w:space="0" w:color="000001"/>
            </w:tcBorders>
            <w:shd w:color="auto" w:fill="auto" w:val="clear"/>
            <w:tcMar>
              <w:left w:w="13" w:type="dxa"/>
            </w:tcMar>
          </w:tcPr>
          <w:p>
            <w:pPr>
              <w:pStyle w:val="Style23"/>
              <w:keepLines/>
              <w:spacing w:lineRule="auto" w:line="240" w:before="0" w:after="0"/>
              <w:rPr>
                <w:rFonts w:ascii="Times New Roman" w:hAnsi="Times New Roman" w:cs="Times New Roman"/>
                <w:sz w:val="24"/>
                <w:szCs w:val="24"/>
              </w:rPr>
            </w:pPr>
            <w:r>
              <w:rPr>
                <w:rFonts w:cs="Times New Roman" w:ascii="Times New Roman" w:hAnsi="Times New Roman"/>
                <w:sz w:val="24"/>
                <w:szCs w:val="24"/>
              </w:rPr>
              <w:t>Число днів зі сніговим покривом</w:t>
            </w:r>
          </w:p>
        </w:tc>
        <w:tc>
          <w:tcPr>
            <w:tcW w:w="41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3" w:type="dxa"/>
            </w:tcMar>
          </w:tcPr>
          <w:p>
            <w:pPr>
              <w:pStyle w:val="Style23"/>
              <w:keepLines/>
              <w:spacing w:lineRule="auto" w:line="240" w:before="0" w:after="0"/>
              <w:rPr>
                <w:rFonts w:ascii="Times New Roman" w:hAnsi="Times New Roman" w:cs="Times New Roman"/>
                <w:sz w:val="24"/>
                <w:szCs w:val="24"/>
              </w:rPr>
            </w:pPr>
            <w:r>
              <w:rPr>
                <w:rFonts w:cs="Times New Roman" w:ascii="Times New Roman" w:hAnsi="Times New Roman"/>
                <w:sz w:val="24"/>
                <w:szCs w:val="24"/>
              </w:rPr>
              <w:t>37 днів</w:t>
            </w:r>
          </w:p>
        </w:tc>
      </w:tr>
      <w:tr>
        <w:trPr>
          <w:cantSplit w:val="true"/>
        </w:trPr>
        <w:tc>
          <w:tcPr>
            <w:tcW w:w="5811" w:type="dxa"/>
            <w:tcBorders>
              <w:top w:val="single" w:sz="4" w:space="0" w:color="000001"/>
              <w:left w:val="single" w:sz="4" w:space="0" w:color="000001"/>
              <w:bottom w:val="single" w:sz="4" w:space="0" w:color="000001"/>
              <w:insideH w:val="single" w:sz="4" w:space="0" w:color="000001"/>
            </w:tcBorders>
            <w:shd w:color="auto" w:fill="auto" w:val="clear"/>
            <w:tcMar>
              <w:left w:w="13" w:type="dxa"/>
            </w:tcMar>
          </w:tcPr>
          <w:p>
            <w:pPr>
              <w:pStyle w:val="Style23"/>
              <w:keepLines/>
              <w:spacing w:lineRule="auto" w:line="240" w:before="0" w:after="0"/>
              <w:rPr>
                <w:rFonts w:ascii="Times New Roman" w:hAnsi="Times New Roman" w:cs="Times New Roman"/>
                <w:sz w:val="24"/>
                <w:szCs w:val="24"/>
              </w:rPr>
            </w:pPr>
            <w:r>
              <w:rPr>
                <w:rFonts w:cs="Times New Roman" w:ascii="Times New Roman" w:hAnsi="Times New Roman"/>
                <w:sz w:val="24"/>
                <w:szCs w:val="24"/>
              </w:rPr>
              <w:t>Швидкість вітру, середня</w:t>
            </w:r>
          </w:p>
        </w:tc>
        <w:tc>
          <w:tcPr>
            <w:tcW w:w="41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3" w:type="dxa"/>
            </w:tcMar>
          </w:tcPr>
          <w:p>
            <w:pPr>
              <w:pStyle w:val="Style23"/>
              <w:keepLines/>
              <w:spacing w:lineRule="auto" w:line="240" w:before="0" w:after="0"/>
              <w:rPr>
                <w:rFonts w:ascii="Times New Roman" w:hAnsi="Times New Roman" w:cs="Times New Roman"/>
                <w:sz w:val="24"/>
                <w:szCs w:val="24"/>
              </w:rPr>
            </w:pPr>
            <w:r>
              <w:rPr>
                <w:rFonts w:cs="Times New Roman" w:ascii="Times New Roman" w:hAnsi="Times New Roman"/>
                <w:sz w:val="24"/>
                <w:szCs w:val="24"/>
              </w:rPr>
              <w:t>4.4м/с</w:t>
            </w:r>
          </w:p>
        </w:tc>
      </w:tr>
      <w:tr>
        <w:trPr>
          <w:cantSplit w:val="true"/>
        </w:trPr>
        <w:tc>
          <w:tcPr>
            <w:tcW w:w="5811" w:type="dxa"/>
            <w:tcBorders>
              <w:top w:val="single" w:sz="4" w:space="0" w:color="000001"/>
              <w:left w:val="single" w:sz="4" w:space="0" w:color="000001"/>
              <w:bottom w:val="single" w:sz="4" w:space="0" w:color="000001"/>
              <w:insideH w:val="single" w:sz="4" w:space="0" w:color="000001"/>
            </w:tcBorders>
            <w:shd w:color="auto" w:fill="auto" w:val="clear"/>
            <w:tcMar>
              <w:left w:w="13" w:type="dxa"/>
            </w:tcMar>
          </w:tcPr>
          <w:p>
            <w:pPr>
              <w:pStyle w:val="Style23"/>
              <w:keepLines/>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Максимальні швидкості вітру, можливі: </w:t>
            </w: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щорічно </w:t>
            </w:r>
          </w:p>
          <w:p>
            <w:pPr>
              <w:pStyle w:val="Style23"/>
              <w:keepLines/>
              <w:spacing w:lineRule="auto" w:line="240" w:before="0" w:after="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1 раз за 5-10 років</w:t>
            </w:r>
          </w:p>
          <w:p>
            <w:pPr>
              <w:pStyle w:val="Style23"/>
              <w:keepLines/>
              <w:spacing w:lineRule="auto" w:line="240" w:before="0" w:after="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 - 15-20 років</w:t>
            </w:r>
          </w:p>
        </w:tc>
        <w:tc>
          <w:tcPr>
            <w:tcW w:w="41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3" w:type="dxa"/>
            </w:tcMar>
          </w:tcPr>
          <w:p>
            <w:pPr>
              <w:pStyle w:val="Style23"/>
              <w:keepLines/>
              <w:spacing w:lineRule="auto" w:line="240" w:before="0" w:after="0"/>
              <w:rPr>
                <w:rFonts w:ascii="Times New Roman" w:hAnsi="Times New Roman" w:cs="Times New Roman"/>
                <w:sz w:val="24"/>
                <w:szCs w:val="24"/>
              </w:rPr>
            </w:pPr>
            <w:r>
              <w:rPr>
                <w:rFonts w:cs="Times New Roman" w:ascii="Times New Roman" w:hAnsi="Times New Roman"/>
                <w:sz w:val="24"/>
                <w:szCs w:val="24"/>
              </w:rPr>
              <w:t>23м/с</w:t>
            </w:r>
          </w:p>
          <w:p>
            <w:pPr>
              <w:pStyle w:val="Style23"/>
              <w:keepLines/>
              <w:spacing w:lineRule="auto" w:line="240" w:before="0" w:after="0"/>
              <w:rPr>
                <w:rFonts w:ascii="Times New Roman" w:hAnsi="Times New Roman" w:cs="Times New Roman"/>
                <w:sz w:val="24"/>
                <w:szCs w:val="24"/>
              </w:rPr>
            </w:pPr>
            <w:r>
              <w:rPr>
                <w:rFonts w:cs="Times New Roman" w:ascii="Times New Roman" w:hAnsi="Times New Roman"/>
                <w:sz w:val="24"/>
                <w:szCs w:val="24"/>
              </w:rPr>
              <w:t>24-27м/с</w:t>
            </w:r>
          </w:p>
          <w:p>
            <w:pPr>
              <w:pStyle w:val="Style23"/>
              <w:keepLines/>
              <w:spacing w:lineRule="auto" w:line="240" w:before="0" w:after="0"/>
              <w:rPr>
                <w:rFonts w:ascii="Times New Roman" w:hAnsi="Times New Roman" w:cs="Times New Roman"/>
                <w:sz w:val="24"/>
                <w:szCs w:val="24"/>
              </w:rPr>
            </w:pPr>
            <w:r>
              <w:rPr>
                <w:rFonts w:cs="Times New Roman" w:ascii="Times New Roman" w:hAnsi="Times New Roman"/>
                <w:sz w:val="24"/>
                <w:szCs w:val="24"/>
              </w:rPr>
              <w:t>28-29м/с</w:t>
            </w:r>
          </w:p>
        </w:tc>
      </w:tr>
      <w:tr>
        <w:trPr>
          <w:cantSplit w:val="true"/>
        </w:trPr>
        <w:tc>
          <w:tcPr>
            <w:tcW w:w="5811" w:type="dxa"/>
            <w:tcBorders>
              <w:top w:val="single" w:sz="4" w:space="0" w:color="000001"/>
              <w:left w:val="single" w:sz="4" w:space="0" w:color="000001"/>
              <w:bottom w:val="single" w:sz="4" w:space="0" w:color="000001"/>
              <w:insideH w:val="single" w:sz="4" w:space="0" w:color="000001"/>
            </w:tcBorders>
            <w:shd w:color="auto" w:fill="auto" w:val="clear"/>
            <w:tcMar>
              <w:left w:w="13" w:type="dxa"/>
            </w:tcMar>
          </w:tcPr>
          <w:p>
            <w:pPr>
              <w:pStyle w:val="Style23"/>
              <w:keepLines/>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Середня повторюваність штилів </w:t>
            </w:r>
          </w:p>
        </w:tc>
        <w:tc>
          <w:tcPr>
            <w:tcW w:w="41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3" w:type="dxa"/>
            </w:tcMar>
          </w:tcPr>
          <w:p>
            <w:pPr>
              <w:pStyle w:val="Style23"/>
              <w:keepLines/>
              <w:spacing w:lineRule="auto" w:line="240" w:before="0" w:after="0"/>
              <w:rPr>
                <w:rFonts w:ascii="Times New Roman" w:hAnsi="Times New Roman" w:cs="Times New Roman"/>
                <w:sz w:val="24"/>
                <w:szCs w:val="24"/>
              </w:rPr>
            </w:pPr>
            <w:r>
              <w:rPr>
                <w:rFonts w:cs="Times New Roman" w:ascii="Times New Roman" w:hAnsi="Times New Roman"/>
                <w:sz w:val="24"/>
                <w:szCs w:val="24"/>
              </w:rPr>
              <w:t>13%</w:t>
            </w:r>
          </w:p>
        </w:tc>
      </w:tr>
      <w:tr>
        <w:trPr>
          <w:cantSplit w:val="true"/>
        </w:trPr>
        <w:tc>
          <w:tcPr>
            <w:tcW w:w="5811" w:type="dxa"/>
            <w:tcBorders>
              <w:top w:val="single" w:sz="4" w:space="0" w:color="000001"/>
              <w:left w:val="single" w:sz="4" w:space="0" w:color="000001"/>
              <w:bottom w:val="single" w:sz="4" w:space="0" w:color="000001"/>
              <w:insideH w:val="single" w:sz="4" w:space="0" w:color="000001"/>
            </w:tcBorders>
            <w:shd w:color="auto" w:fill="auto" w:val="clear"/>
            <w:tcMar>
              <w:left w:w="13" w:type="dxa"/>
            </w:tcMar>
          </w:tcPr>
          <w:p>
            <w:pPr>
              <w:pStyle w:val="Style23"/>
              <w:keepLines/>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Домінуючі напрямки вітру та їх повторюваність </w:t>
            </w:r>
          </w:p>
        </w:tc>
        <w:tc>
          <w:tcPr>
            <w:tcW w:w="41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3" w:type="dxa"/>
            </w:tcMar>
          </w:tcPr>
          <w:p>
            <w:pPr>
              <w:pStyle w:val="Style23"/>
              <w:keepLines/>
              <w:spacing w:lineRule="auto" w:line="240" w:before="0" w:after="0"/>
              <w:rPr>
                <w:rFonts w:ascii="Times New Roman" w:hAnsi="Times New Roman" w:cs="Times New Roman"/>
                <w:sz w:val="24"/>
                <w:szCs w:val="24"/>
              </w:rPr>
            </w:pPr>
            <w:r>
              <w:rPr>
                <w:rFonts w:cs="Times New Roman" w:ascii="Times New Roman" w:hAnsi="Times New Roman"/>
                <w:sz w:val="24"/>
                <w:szCs w:val="24"/>
              </w:rPr>
              <w:t>ПнСх – 18%, Пн та Сх – 16%</w:t>
            </w:r>
          </w:p>
        </w:tc>
      </w:tr>
    </w:tbl>
    <w:p>
      <w:pPr>
        <w:pStyle w:val="TableTitle"/>
        <w:numPr>
          <w:ilvl w:val="0"/>
          <w:numId w:val="2"/>
        </w:numPr>
        <w:ind w:left="714" w:hanging="357"/>
        <w:rPr/>
      </w:pPr>
      <w:bookmarkStart w:id="34" w:name="_Toc84967203"/>
      <w:bookmarkEnd w:id="34"/>
      <w:r>
        <w:rPr/>
        <w:t>Основні метеорологічні показники Каховської громади</w:t>
      </w:r>
    </w:p>
    <w:p>
      <w:pPr>
        <w:pStyle w:val="Normal"/>
        <w:spacing w:lineRule="auto" w:line="240" w:before="120" w:after="0"/>
        <w:ind w:firstLine="709"/>
        <w:jc w:val="both"/>
        <w:rPr>
          <w:rFonts w:ascii="Times New Roman" w:hAnsi="Times New Roman" w:eastAsia="Calibri" w:cs="Times New Roman"/>
          <w:color w:val="1A1A1A"/>
          <w:sz w:val="24"/>
          <w:szCs w:val="24"/>
        </w:rPr>
      </w:pPr>
      <w:r>
        <w:rPr>
          <w:rFonts w:eastAsia="Calibri" w:cs="Times New Roman" w:ascii="Times New Roman" w:hAnsi="Times New Roman"/>
          <w:color w:val="1A1A1A"/>
          <w:sz w:val="24"/>
          <w:szCs w:val="24"/>
        </w:rPr>
        <w:t xml:space="preserve">На території громади загальною площею </w:t>
      </w:r>
      <w:r>
        <w:rPr>
          <w:rFonts w:eastAsia="Calibri" w:cs="Times New Roman" w:ascii="Times New Roman" w:hAnsi="Times New Roman"/>
          <w:color w:val="1A1A1A"/>
          <w:sz w:val="24"/>
          <w:szCs w:val="24"/>
          <w:lang w:val="ru-RU"/>
        </w:rPr>
        <w:t>19</w:t>
      </w:r>
      <w:r>
        <w:rPr>
          <w:rFonts w:eastAsia="Calibri" w:cs="Times New Roman" w:ascii="Times New Roman" w:hAnsi="Times New Roman"/>
          <w:color w:val="1A1A1A"/>
          <w:sz w:val="24"/>
          <w:szCs w:val="24"/>
        </w:rPr>
        <w:t xml:space="preserve">,6 тис. га знаходиться 12,7 тис. га (75%) сільськогосподарських земель, в тому числі майже 8 тис. га під зрошенням. Переважна частина земель – чорноземи південні малогумусні неглибокі, частково, навколо села Коробки – чорноземи осолоділі. (рис. 2).  </w:t>
      </w:r>
    </w:p>
    <w:p>
      <w:pPr>
        <w:pStyle w:val="Normal"/>
        <w:spacing w:lineRule="auto" w:line="240" w:before="120" w:after="0"/>
        <w:jc w:val="both"/>
        <w:rPr>
          <w:rFonts w:ascii="Times New Roman" w:hAnsi="Times New Roman" w:eastAsia="Calibri" w:cs="Times New Roman"/>
          <w:color w:val="1A1A1A"/>
          <w:sz w:val="24"/>
          <w:szCs w:val="24"/>
        </w:rPr>
      </w:pPr>
      <w:r>
        <w:rPr/>
        <w:drawing>
          <wp:inline distT="0" distB="0" distL="0" distR="0">
            <wp:extent cx="6295390" cy="3306445"/>
            <wp:effectExtent l="0" t="0" r="0" b="0"/>
            <wp:docPr id="5" name="Рисунок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1" descr=""/>
                    <pic:cNvPicPr>
                      <a:picLocks noChangeAspect="1" noChangeArrowheads="1"/>
                    </pic:cNvPicPr>
                  </pic:nvPicPr>
                  <pic:blipFill>
                    <a:blip r:embed="rId4"/>
                    <a:srcRect l="24136" t="18558" r="6839" b="17224"/>
                    <a:stretch>
                      <a:fillRect/>
                    </a:stretch>
                  </pic:blipFill>
                  <pic:spPr bwMode="auto">
                    <a:xfrm>
                      <a:off x="0" y="0"/>
                      <a:ext cx="6295390" cy="3306445"/>
                    </a:xfrm>
                    <a:prstGeom prst="rect">
                      <a:avLst/>
                    </a:prstGeom>
                  </pic:spPr>
                </pic:pic>
              </a:graphicData>
            </a:graphic>
          </wp:inline>
        </w:drawing>
      </w:r>
    </w:p>
    <w:p>
      <w:pPr>
        <w:pStyle w:val="ListParagraph"/>
        <w:numPr>
          <w:ilvl w:val="0"/>
          <w:numId w:val="3"/>
        </w:numPr>
        <w:tabs>
          <w:tab w:val="left" w:pos="1260" w:leader="none"/>
        </w:tabs>
        <w:rPr>
          <w:rFonts w:ascii="Times New Roman" w:hAnsi="Times New Roman" w:cs="Times New Roman"/>
          <w:b/>
          <w:b/>
          <w:color w:val="1A1A1A" w:themeColor="background1" w:themeShade="1a"/>
          <w:sz w:val="24"/>
          <w:szCs w:val="24"/>
          <w:lang w:val="uk-UA"/>
        </w:rPr>
      </w:pPr>
      <w:r>
        <w:rPr>
          <w:rFonts w:cs="Times New Roman" w:ascii="Times New Roman" w:hAnsi="Times New Roman"/>
          <w:b/>
          <w:color w:val="1A1A1A" w:themeColor="background1" w:themeShade="1a"/>
          <w:sz w:val="24"/>
          <w:szCs w:val="24"/>
          <w:lang w:val="uk-UA"/>
        </w:rPr>
        <w:t>Ґрунти  Каховської громади</w:t>
      </w:r>
    </w:p>
    <w:p>
      <w:pPr>
        <w:pStyle w:val="Normal"/>
        <w:spacing w:lineRule="auto" w:line="240" w:before="120" w:after="0"/>
        <w:ind w:firstLine="709"/>
        <w:jc w:val="both"/>
        <w:rPr>
          <w:rFonts w:ascii="Times New Roman" w:hAnsi="Times New Roman" w:eastAsia="Calibri" w:cs="Times New Roman"/>
          <w:i/>
          <w:i/>
          <w:iCs/>
          <w:color w:val="1A1A1A"/>
          <w:sz w:val="24"/>
          <w:szCs w:val="24"/>
          <w:u w:val="single"/>
        </w:rPr>
      </w:pPr>
      <w:r>
        <w:rPr>
          <w:rFonts w:eastAsia="Calibri" w:cs="Times New Roman" w:ascii="Times New Roman" w:hAnsi="Times New Roman"/>
          <w:i/>
          <w:iCs/>
          <w:color w:val="1A1A1A"/>
          <w:sz w:val="24"/>
          <w:szCs w:val="24"/>
          <w:u w:val="single"/>
        </w:rPr>
        <w:t>Гідрологічні особливості</w:t>
      </w:r>
    </w:p>
    <w:p>
      <w:pPr>
        <w:pStyle w:val="Normal"/>
        <w:spacing w:lineRule="auto" w:line="240" w:before="120" w:after="0"/>
        <w:ind w:firstLine="708"/>
        <w:jc w:val="both"/>
        <w:rPr>
          <w:rFonts w:ascii="Times New Roman" w:hAnsi="Times New Roman" w:eastAsia="Calibri" w:cs="Times New Roman"/>
          <w:color w:val="1A1A1A"/>
          <w:sz w:val="24"/>
          <w:szCs w:val="24"/>
        </w:rPr>
      </w:pPr>
      <w:r>
        <w:rPr>
          <w:rFonts w:eastAsia="Calibri" w:cs="Times New Roman" w:ascii="Times New Roman" w:hAnsi="Times New Roman"/>
          <w:color w:val="1A1A1A"/>
          <w:sz w:val="24"/>
          <w:szCs w:val="24"/>
        </w:rPr>
        <w:t>Гідрографічним об’єктом місцевості є Каховське водосховище – нижнє в каскаді дніпровських водосховищ, яке обмиває територію міста Каховка з півночі. З точки зору перспектив використання має сприятливий рекреаційний ресурс. У санітарному відношенні якість води відповідає вимогам рекреаційних об’єктів. Наразі, в межі міста використовуються неорганізовані пляжі, загальною довжиною 700 м – в західній частині прибережної зони та 700 м у східній частині міста. Пляжні території потребують санітарного та рекреаційного благоустрою.</w:t>
      </w:r>
    </w:p>
    <w:p>
      <w:pPr>
        <w:pStyle w:val="Normal"/>
        <w:spacing w:lineRule="auto" w:line="240" w:before="120" w:after="0"/>
        <w:ind w:firstLine="709"/>
        <w:jc w:val="both"/>
        <w:rPr>
          <w:rFonts w:ascii="Times New Roman" w:hAnsi="Times New Roman" w:eastAsia="Calibri" w:cs="Times New Roman"/>
          <w:color w:val="1A1A1A"/>
          <w:sz w:val="24"/>
          <w:szCs w:val="24"/>
        </w:rPr>
      </w:pPr>
      <w:r>
        <w:rPr>
          <w:rFonts w:eastAsia="Calibri" w:cs="Times New Roman" w:ascii="Times New Roman" w:hAnsi="Times New Roman"/>
          <w:color w:val="1A1A1A"/>
          <w:sz w:val="24"/>
          <w:szCs w:val="24"/>
        </w:rPr>
        <w:t xml:space="preserve">Структура земельного фонду громади наведена на рис. 3. </w:t>
      </w:r>
    </w:p>
    <w:tbl>
      <w:tblPr>
        <w:tblpPr w:bottomFromText="0" w:horzAnchor="margin" w:leftFromText="180" w:rightFromText="180" w:tblpX="0" w:tblpY="97" w:topFromText="0" w:vertAnchor="text"/>
        <w:tblW w:w="9860" w:type="dxa"/>
        <w:jc w:val="left"/>
        <w:tblInd w:w="108" w:type="dxa"/>
        <w:tblBorders/>
        <w:tblCellMar>
          <w:top w:w="0" w:type="dxa"/>
          <w:left w:w="108" w:type="dxa"/>
          <w:bottom w:w="0" w:type="dxa"/>
          <w:right w:w="108" w:type="dxa"/>
        </w:tblCellMar>
        <w:tblLook w:val="01e0" w:noVBand="0" w:noHBand="0" w:lastColumn="1" w:firstColumn="1" w:lastRow="1" w:firstRow="1"/>
      </w:tblPr>
      <w:tblGrid>
        <w:gridCol w:w="9860"/>
      </w:tblGrid>
      <w:tr>
        <w:trPr/>
        <w:tc>
          <w:tcPr>
            <w:tcW w:w="9860" w:type="dxa"/>
            <w:tcBorders/>
            <w:shd w:color="auto" w:fill="auto" w:val="clear"/>
          </w:tcPr>
          <w:p>
            <w:pPr>
              <w:pStyle w:val="Normal"/>
              <w:spacing w:lineRule="auto" w:line="240" w:before="0" w:after="0"/>
              <w:jc w:val="both"/>
              <w:rPr>
                <w:rFonts w:ascii="Times New Roman" w:hAnsi="Times New Roman" w:cs="Times New Roman"/>
                <w:color w:val="1A1A1A" w:themeColor="background1" w:themeShade="1a"/>
                <w:sz w:val="24"/>
                <w:szCs w:val="24"/>
              </w:rPr>
            </w:pPr>
            <w:r>
              <w:rPr/>
              <w:drawing>
                <wp:inline distT="0" distB="0" distL="0" distR="0">
                  <wp:extent cx="5921375" cy="3194050"/>
                  <wp:effectExtent l="0" t="0" r="0" b="0"/>
                  <wp:docPr id="6" name="Рисунок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0" descr=""/>
                          <pic:cNvPicPr>
                            <a:picLocks noChangeAspect="1" noChangeArrowheads="1"/>
                          </pic:cNvPicPr>
                        </pic:nvPicPr>
                        <pic:blipFill>
                          <a:blip r:embed="rId5"/>
                          <a:srcRect l="1665" t="2104" r="1253" b="3116"/>
                          <a:stretch>
                            <a:fillRect/>
                          </a:stretch>
                        </pic:blipFill>
                        <pic:spPr bwMode="auto">
                          <a:xfrm>
                            <a:off x="0" y="0"/>
                            <a:ext cx="5921375" cy="3194050"/>
                          </a:xfrm>
                          <a:prstGeom prst="rect">
                            <a:avLst/>
                          </a:prstGeom>
                        </pic:spPr>
                      </pic:pic>
                    </a:graphicData>
                  </a:graphic>
                </wp:inline>
              </w:drawing>
            </w:r>
          </w:p>
          <w:p>
            <w:pPr>
              <w:pStyle w:val="ListParagraph"/>
              <w:numPr>
                <w:ilvl w:val="0"/>
                <w:numId w:val="3"/>
              </w:numPr>
              <w:tabs>
                <w:tab w:val="left" w:pos="1260" w:leader="none"/>
              </w:tabs>
              <w:spacing w:lineRule="auto" w:line="240" w:before="120" w:after="200"/>
              <w:jc w:val="center"/>
              <w:rPr>
                <w:rFonts w:ascii="Times New Roman" w:hAnsi="Times New Roman" w:cs="Times New Roman"/>
                <w:b/>
                <w:b/>
                <w:color w:val="1A1A1A" w:themeColor="background1" w:themeShade="1a"/>
                <w:sz w:val="24"/>
                <w:szCs w:val="24"/>
                <w:lang w:val="uk-UA"/>
              </w:rPr>
            </w:pPr>
            <w:r>
              <w:rPr>
                <w:rFonts w:cs="Times New Roman" w:ascii="Times New Roman" w:hAnsi="Times New Roman"/>
                <w:b/>
                <w:color w:val="1A1A1A" w:themeColor="background1" w:themeShade="1a"/>
                <w:sz w:val="24"/>
                <w:szCs w:val="24"/>
                <w:lang w:val="uk-UA"/>
              </w:rPr>
              <w:t>Структура земельного фонду Каховської громади</w:t>
            </w:r>
          </w:p>
        </w:tc>
      </w:tr>
    </w:tbl>
    <w:p>
      <w:pPr>
        <w:pStyle w:val="Normal"/>
        <w:spacing w:lineRule="auto" w:line="240" w:before="120" w:after="0"/>
        <w:ind w:firstLine="709"/>
        <w:jc w:val="both"/>
        <w:rPr>
          <w:rFonts w:ascii="Times New Roman" w:hAnsi="Times New Roman" w:cs="Times New Roman"/>
          <w:color w:val="1A1A1A" w:themeColor="background1" w:themeShade="1a"/>
          <w:sz w:val="24"/>
          <w:szCs w:val="24"/>
        </w:rPr>
      </w:pPr>
      <w:r>
        <w:rPr>
          <w:rFonts w:cs="Times New Roman" w:ascii="Times New Roman" w:hAnsi="Times New Roman"/>
          <w:i/>
          <w:iCs/>
          <w:color w:val="1A1A1A" w:themeColor="background1" w:themeShade="1a"/>
          <w:sz w:val="24"/>
          <w:szCs w:val="24"/>
          <w:u w:val="single"/>
        </w:rPr>
        <w:t>Просторове планування</w:t>
      </w:r>
      <w:r>
        <w:rPr>
          <w:rFonts w:cs="Times New Roman" w:ascii="Times New Roman" w:hAnsi="Times New Roman"/>
          <w:color w:val="1A1A1A" w:themeColor="background1" w:themeShade="1a"/>
          <w:sz w:val="24"/>
          <w:szCs w:val="24"/>
        </w:rPr>
        <w:t xml:space="preserve">. Наразі Каховська територіальна громада має затверджений у грудні 2020 року генеральний план міста Каховка. </w:t>
      </w:r>
    </w:p>
    <w:p>
      <w:pPr>
        <w:pStyle w:val="Normal"/>
        <w:spacing w:lineRule="auto" w:line="240" w:before="0" w:after="0"/>
        <w:ind w:firstLine="709"/>
        <w:jc w:val="both"/>
        <w:rPr>
          <w:rFonts w:ascii="Times New Roman" w:hAnsi="Times New Roman" w:cs="Times New Roman"/>
          <w:color w:val="1A1A1A" w:themeColor="background1" w:themeShade="1a"/>
          <w:sz w:val="24"/>
          <w:szCs w:val="24"/>
        </w:rPr>
      </w:pPr>
      <w:r>
        <w:rPr>
          <w:rFonts w:cs="Times New Roman" w:ascii="Times New Roman" w:hAnsi="Times New Roman"/>
          <w:color w:val="1A1A1A" w:themeColor="background1" w:themeShade="1a"/>
          <w:sz w:val="24"/>
          <w:szCs w:val="24"/>
        </w:rPr>
        <w:t xml:space="preserve">У контексті нових законодавчих рішень планується передбачити розробку комплексного плану просторового розвитку території громади. </w:t>
      </w:r>
    </w:p>
    <w:p>
      <w:pPr>
        <w:pStyle w:val="Normal"/>
        <w:spacing w:lineRule="auto" w:line="240" w:before="0" w:after="0"/>
        <w:ind w:firstLine="709"/>
        <w:jc w:val="both"/>
        <w:rPr>
          <w:rFonts w:ascii="Times New Roman" w:hAnsi="Times New Roman" w:cs="Times New Roman"/>
          <w:color w:val="1A1A1A" w:themeColor="background1" w:themeShade="1a"/>
          <w:sz w:val="24"/>
          <w:szCs w:val="24"/>
        </w:rPr>
      </w:pPr>
      <w:r>
        <w:rPr>
          <w:rFonts w:cs="Times New Roman" w:ascii="Times New Roman" w:hAnsi="Times New Roman"/>
          <w:color w:val="1A1A1A" w:themeColor="background1" w:themeShade="1a"/>
          <w:sz w:val="24"/>
          <w:szCs w:val="24"/>
        </w:rPr>
        <w:t>Доцільно провести інвентаризацію комерційної нерухомості та усіх земельних ділянок в межах території громади. Корисним інструментом слугуватиме розробка цифрової карти громади.</w:t>
      </w:r>
    </w:p>
    <w:p>
      <w:pPr>
        <w:pStyle w:val="Normal"/>
        <w:spacing w:lineRule="auto" w:line="240" w:before="0" w:after="0"/>
        <w:ind w:firstLine="709"/>
        <w:jc w:val="both"/>
        <w:rPr>
          <w:rFonts w:ascii="Times New Roman" w:hAnsi="Times New Roman" w:cs="Times New Roman"/>
          <w:color w:val="1A1A1A" w:themeColor="background1" w:themeShade="1a"/>
          <w:sz w:val="24"/>
          <w:szCs w:val="24"/>
        </w:rPr>
      </w:pPr>
      <w:r>
        <w:rPr>
          <w:rFonts w:cs="Times New Roman" w:ascii="Times New Roman" w:hAnsi="Times New Roman"/>
          <w:color w:val="1A1A1A" w:themeColor="background1" w:themeShade="1a"/>
          <w:sz w:val="24"/>
          <w:szCs w:val="24"/>
        </w:rPr>
      </w:r>
    </w:p>
    <w:p>
      <w:pPr>
        <w:pStyle w:val="2"/>
        <w:spacing w:before="0" w:after="0"/>
        <w:ind w:left="284" w:hanging="0"/>
        <w:rPr>
          <w:rFonts w:ascii="Times New Roman" w:hAnsi="Times New Roman" w:cs="Times New Roman"/>
          <w:szCs w:val="24"/>
        </w:rPr>
      </w:pPr>
      <w:bookmarkStart w:id="35" w:name="_Toc84967170"/>
      <w:bookmarkStart w:id="36" w:name="_Hlk65587767"/>
      <w:bookmarkEnd w:id="33"/>
      <w:bookmarkEnd w:id="35"/>
      <w:bookmarkEnd w:id="36"/>
      <w:r>
        <w:rPr>
          <w:rFonts w:cs="Times New Roman" w:ascii="Times New Roman" w:hAnsi="Times New Roman"/>
          <w:szCs w:val="24"/>
        </w:rPr>
        <w:t>1.2. Людський капітал Каховської громади</w:t>
      </w:r>
    </w:p>
    <w:p>
      <w:pPr>
        <w:pStyle w:val="Normal"/>
        <w:spacing w:lineRule="auto" w:line="240" w:before="120" w:after="0"/>
        <w:ind w:firstLine="709"/>
        <w:jc w:val="both"/>
        <w:rPr>
          <w:rFonts w:ascii="Times New Roman" w:hAnsi="Times New Roman" w:cs="Times New Roman"/>
          <w:color w:val="1A1A1A" w:themeColor="background1" w:themeShade="1a"/>
          <w:sz w:val="24"/>
          <w:szCs w:val="24"/>
        </w:rPr>
      </w:pPr>
      <w:r>
        <w:rPr>
          <w:rFonts w:cs="Times New Roman" w:ascii="Times New Roman" w:hAnsi="Times New Roman"/>
          <w:color w:val="1A1A1A" w:themeColor="background1" w:themeShade="1a"/>
          <w:sz w:val="24"/>
          <w:szCs w:val="24"/>
        </w:rPr>
        <w:t>До складу Каховської ТГ входить 6 населених пунктів: місто Каховка, село Малокаховка, село Роздольне, село Чорноморівка, село Вільна Україна, село Коробки.</w:t>
      </w:r>
    </w:p>
    <w:p>
      <w:pPr>
        <w:pStyle w:val="Normal"/>
        <w:spacing w:lineRule="auto" w:line="240" w:before="120" w:after="0"/>
        <w:ind w:firstLine="709"/>
        <w:jc w:val="both"/>
        <w:rPr>
          <w:color w:themeColor="background1" w:themeShade="1a"/>
          <w:highlight w:val="white"/>
        </w:rPr>
      </w:pPr>
      <w:r>
        <w:rPr>
          <w:rFonts w:cs="Times New Roman" w:ascii="Times New Roman" w:hAnsi="Times New Roman"/>
          <w:color w:val="1A1A1A" w:themeColor="background1" w:themeShade="1a"/>
          <w:sz w:val="24"/>
          <w:szCs w:val="24"/>
          <w:highlight w:val="white"/>
        </w:rPr>
        <w:t>Станом на грудень 2020 року населення громади становить 44034 мешканців, з яких 35444 осіб проживає в адміністративному центрі, м. Каховка. Загальна демографічна ситуація має відносно незначну</w:t>
      </w:r>
      <w:r>
        <w:rPr>
          <w:rFonts w:cs="Times New Roman" w:ascii="Times New Roman" w:hAnsi="Times New Roman"/>
          <w:color w:val="1A1A1A" w:themeColor="background1" w:themeShade="1a"/>
          <w:sz w:val="24"/>
          <w:szCs w:val="24"/>
          <w:highlight w:val="white"/>
          <w:lang w:val="ru-RU"/>
        </w:rPr>
        <w:t xml:space="preserve"> </w:t>
      </w:r>
      <w:r>
        <w:rPr>
          <w:rFonts w:cs="Times New Roman" w:ascii="Times New Roman" w:hAnsi="Times New Roman"/>
          <w:color w:val="1A1A1A" w:themeColor="background1" w:themeShade="1a"/>
          <w:sz w:val="24"/>
          <w:szCs w:val="24"/>
          <w:highlight w:val="white"/>
        </w:rPr>
        <w:t>негативну тенденцію (-204 мешканці у 2019 році). За останні 6 років кількість мешканців скоротилась найбільше у місті Каховка. Сільські населені пункти громади демонструють майже стабільні показники. Лінійне прогнозування припускає, що у перспективі 2022 року громада втрачатиме біля 400 мешканців щороку, переважно за рахунок перевищення показників смертності над народжуваністю (рис. 4).</w:t>
      </w:r>
    </w:p>
    <w:p>
      <w:pPr>
        <w:pStyle w:val="Normal"/>
        <w:spacing w:lineRule="auto" w:line="240" w:before="0" w:after="0"/>
        <w:ind w:firstLine="709"/>
        <w:jc w:val="both"/>
        <w:rPr>
          <w:rFonts w:ascii="Times New Roman" w:hAnsi="Times New Roman" w:cs="Times New Roman"/>
          <w:color w:val="1A1A1A" w:themeColor="background1" w:themeShade="1a"/>
          <w:sz w:val="24"/>
          <w:szCs w:val="24"/>
          <w:highlight w:val="white"/>
        </w:rPr>
      </w:pPr>
      <w:r>
        <w:rPr>
          <w:rFonts w:cs="Times New Roman" w:ascii="Times New Roman" w:hAnsi="Times New Roman"/>
          <w:color w:val="1A1A1A" w:themeColor="background1" w:themeShade="1a"/>
          <w:sz w:val="24"/>
          <w:szCs w:val="24"/>
          <w:highlight w:val="white"/>
        </w:rPr>
      </w:r>
    </w:p>
    <w:p>
      <w:pPr>
        <w:pStyle w:val="Normal"/>
        <w:spacing w:lineRule="auto" w:line="240" w:before="0" w:after="0"/>
        <w:jc w:val="both"/>
        <w:rPr>
          <w:rFonts w:ascii="Times New Roman" w:hAnsi="Times New Roman" w:cs="Times New Roman"/>
          <w:color w:val="1A1A1A" w:themeColor="background1" w:themeShade="1a"/>
          <w:sz w:val="24"/>
          <w:szCs w:val="24"/>
        </w:rPr>
      </w:pPr>
      <w:r>
        <w:rPr/>
        <w:drawing>
          <wp:inline distT="0" distB="0" distL="0" distR="0">
            <wp:extent cx="6372225" cy="3604895"/>
            <wp:effectExtent l="0" t="0" r="0" b="0"/>
            <wp:docPr id="7"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8" descr=""/>
                    <pic:cNvPicPr>
                      <a:picLocks noChangeAspect="1" noChangeArrowheads="1"/>
                    </pic:cNvPicPr>
                  </pic:nvPicPr>
                  <pic:blipFill>
                    <a:blip r:embed="rId6"/>
                    <a:stretch>
                      <a:fillRect/>
                    </a:stretch>
                  </pic:blipFill>
                  <pic:spPr bwMode="auto">
                    <a:xfrm>
                      <a:off x="0" y="0"/>
                      <a:ext cx="6372225" cy="3604895"/>
                    </a:xfrm>
                    <a:prstGeom prst="rect">
                      <a:avLst/>
                    </a:prstGeom>
                  </pic:spPr>
                </pic:pic>
              </a:graphicData>
            </a:graphic>
          </wp:inline>
        </w:drawing>
      </w:r>
    </w:p>
    <w:p>
      <w:pPr>
        <w:pStyle w:val="Normal"/>
        <w:spacing w:lineRule="auto" w:line="240" w:before="0" w:after="0"/>
        <w:jc w:val="both"/>
        <w:rPr>
          <w:rFonts w:ascii="Times New Roman" w:hAnsi="Times New Roman" w:cs="Times New Roman"/>
          <w:color w:val="1A1A1A" w:themeColor="background1" w:themeShade="1a"/>
          <w:sz w:val="24"/>
          <w:szCs w:val="24"/>
        </w:rPr>
      </w:pPr>
      <w:r>
        <w:rPr>
          <w:rFonts w:cs="Times New Roman" w:ascii="Times New Roman" w:hAnsi="Times New Roman"/>
          <w:color w:val="1A1A1A" w:themeColor="background1" w:themeShade="1a"/>
          <w:sz w:val="24"/>
          <w:szCs w:val="24"/>
        </w:rPr>
      </w:r>
    </w:p>
    <w:p>
      <w:pPr>
        <w:pStyle w:val="Normal"/>
        <w:spacing w:lineRule="auto" w:line="240" w:before="0" w:after="0"/>
        <w:ind w:firstLine="709"/>
        <w:jc w:val="both"/>
        <w:rPr>
          <w:rFonts w:ascii="Times New Roman" w:hAnsi="Times New Roman" w:cs="Times New Roman"/>
          <w:color w:val="1A1A1A" w:themeColor="background1" w:themeShade="1a"/>
          <w:sz w:val="24"/>
          <w:szCs w:val="24"/>
        </w:rPr>
      </w:pPr>
      <w:r>
        <mc:AlternateContent>
          <mc:Choice Requires="wps">
            <w:drawing>
              <wp:anchor behindDoc="0" distT="0" distB="0" distL="114300" distR="114300" simplePos="0" locked="0" layoutInCell="1" allowOverlap="1" relativeHeight="3">
                <wp:simplePos x="0" y="0"/>
                <wp:positionH relativeFrom="margin">
                  <wp:posOffset>-68580</wp:posOffset>
                </wp:positionH>
                <wp:positionV relativeFrom="paragraph">
                  <wp:posOffset>635</wp:posOffset>
                </wp:positionV>
                <wp:extent cx="6124575" cy="411480"/>
                <wp:effectExtent l="0" t="0" r="0" b="0"/>
                <wp:wrapSquare wrapText="bothSides"/>
                <wp:docPr id="8" name="Врезка2"/>
                <a:graphic xmlns:a="http://schemas.openxmlformats.org/drawingml/2006/main">
                  <a:graphicData uri="http://schemas.microsoft.com/office/word/2010/wordprocessingShape">
                    <wps:wsp>
                      <wps:cNvSpPr/>
                      <wps:spPr>
                        <a:xfrm>
                          <a:off x="0" y="0"/>
                          <a:ext cx="6123960" cy="410760"/>
                        </a:xfrm>
                        <a:prstGeom prst="rect">
                          <a:avLst/>
                        </a:prstGeom>
                        <a:noFill/>
                        <a:ln>
                          <a:noFill/>
                        </a:ln>
                      </wps:spPr>
                      <wps:style>
                        <a:lnRef idx="0"/>
                        <a:fillRef idx="0"/>
                        <a:effectRef idx="0"/>
                        <a:fontRef idx="minor"/>
                      </wps:style>
                      <wps:txbx>
                        <w:txbxContent>
                          <w:tbl>
                            <w:tblPr>
                              <w:tblW w:w="9640" w:type="dxa"/>
                              <w:jc w:val="left"/>
                              <w:tblInd w:w="108" w:type="dxa"/>
                              <w:tblBorders/>
                              <w:tblCellMar>
                                <w:top w:w="0" w:type="dxa"/>
                                <w:left w:w="108" w:type="dxa"/>
                                <w:bottom w:w="0" w:type="dxa"/>
                                <w:right w:w="108" w:type="dxa"/>
                              </w:tblCellMar>
                              <w:tblLook w:val="01e0" w:noVBand="0" w:noHBand="0" w:firstRow="1" w:lastRow="1" w:firstColumn="1" w:lastColumn="1"/>
                            </w:tblPr>
                            <w:tblGrid>
                              <w:gridCol w:w="9640"/>
                            </w:tblGrid>
                            <w:tr>
                              <w:trPr/>
                              <w:tc>
                                <w:tcPr>
                                  <w:tcW w:w="9640" w:type="dxa"/>
                                  <w:tcBorders/>
                                  <w:shd w:fill="auto" w:val="clear"/>
                                </w:tcPr>
                                <w:p>
                                  <w:pPr>
                                    <w:pStyle w:val="ListParagraph"/>
                                    <w:numPr>
                                      <w:ilvl w:val="0"/>
                                      <w:numId w:val="3"/>
                                    </w:numPr>
                                    <w:tabs>
                                      <w:tab w:val="left" w:pos="1260" w:leader="none"/>
                                    </w:tabs>
                                    <w:spacing w:before="0" w:after="120"/>
                                    <w:rPr/>
                                  </w:pPr>
                                  <w:r>
                                    <w:rPr>
                                      <w:rFonts w:cs="Times New Roman" w:ascii="Times New Roman" w:hAnsi="Times New Roman"/>
                                      <w:b/>
                                      <w:color w:val="1A1A1A" w:themeColor="background1" w:themeShade="1a"/>
                                      <w:sz w:val="24"/>
                                      <w:szCs w:val="24"/>
                                      <w:lang w:val="uk-UA"/>
                                    </w:rPr>
                                    <w:t xml:space="preserve">Природний та міграційний рух населення </w:t>
                                  </w:r>
                                  <w:r>
                                    <w:rPr>
                                      <w:rFonts w:cs="Times New Roman" w:ascii="Times New Roman" w:hAnsi="Times New Roman"/>
                                      <w:b/>
                                      <w:color w:val="1A1A1A" w:themeColor="background1" w:themeShade="1a"/>
                                      <w:sz w:val="24"/>
                                      <w:szCs w:val="24"/>
                                      <w:lang w:val="uk-UA" w:eastAsia="en-US"/>
                                    </w:rPr>
                                    <w:t>(лінійний прогноз)</w:t>
                                  </w:r>
                                </w:p>
                              </w:tc>
                            </w:tr>
                          </w:tbl>
                          <w:p>
                            <w:pPr>
                              <w:pStyle w:val="Style31"/>
                              <w:spacing w:before="0" w:after="200"/>
                              <w:rPr/>
                            </w:pPr>
                            <w:r>
                              <w:rPr/>
                            </w:r>
                          </w:p>
                        </w:txbxContent>
                      </wps:txbx>
                      <wps:bodyPr lIns="0" rIns="0" tIns="0" bIns="0">
                        <a:spAutoFit/>
                      </wps:bodyPr>
                    </wps:wsp>
                  </a:graphicData>
                </a:graphic>
              </wp:anchor>
            </w:drawing>
          </mc:Choice>
          <mc:Fallback>
            <w:pict>
              <v:rect id="shape_0" ID="Врезка2" stroked="f" style="position:absolute;margin-left:-5.4pt;margin-top:0.05pt;width:482.15pt;height:32.3pt;mso-position-horizontal-relative:margin">
                <w10:wrap type="none"/>
                <v:fill o:detectmouseclick="t" on="false"/>
                <v:stroke color="#3465a4" joinstyle="round" endcap="flat"/>
                <v:textbox>
                  <w:txbxContent>
                    <w:tbl>
                      <w:tblPr>
                        <w:tblW w:w="9640" w:type="dxa"/>
                        <w:jc w:val="left"/>
                        <w:tblInd w:w="108" w:type="dxa"/>
                        <w:tblBorders/>
                        <w:tblCellMar>
                          <w:top w:w="0" w:type="dxa"/>
                          <w:left w:w="108" w:type="dxa"/>
                          <w:bottom w:w="0" w:type="dxa"/>
                          <w:right w:w="108" w:type="dxa"/>
                        </w:tblCellMar>
                        <w:tblLook w:val="01e0" w:noVBand="0" w:noHBand="0" w:firstRow="1" w:lastRow="1" w:firstColumn="1" w:lastColumn="1"/>
                      </w:tblPr>
                      <w:tblGrid>
                        <w:gridCol w:w="9640"/>
                      </w:tblGrid>
                      <w:tr>
                        <w:trPr/>
                        <w:tc>
                          <w:tcPr>
                            <w:tcW w:w="9640" w:type="dxa"/>
                            <w:tcBorders/>
                            <w:shd w:fill="auto" w:val="clear"/>
                          </w:tcPr>
                          <w:p>
                            <w:pPr>
                              <w:pStyle w:val="ListParagraph"/>
                              <w:numPr>
                                <w:ilvl w:val="0"/>
                                <w:numId w:val="3"/>
                              </w:numPr>
                              <w:tabs>
                                <w:tab w:val="left" w:pos="1260" w:leader="none"/>
                              </w:tabs>
                              <w:spacing w:before="0" w:after="120"/>
                              <w:rPr/>
                            </w:pPr>
                            <w:r>
                              <w:rPr>
                                <w:rFonts w:cs="Times New Roman" w:ascii="Times New Roman" w:hAnsi="Times New Roman"/>
                                <w:b/>
                                <w:color w:val="1A1A1A" w:themeColor="background1" w:themeShade="1a"/>
                                <w:sz w:val="24"/>
                                <w:szCs w:val="24"/>
                                <w:lang w:val="uk-UA"/>
                              </w:rPr>
                              <w:t xml:space="preserve">Природний та міграційний рух населення </w:t>
                            </w:r>
                            <w:r>
                              <w:rPr>
                                <w:rFonts w:cs="Times New Roman" w:ascii="Times New Roman" w:hAnsi="Times New Roman"/>
                                <w:b/>
                                <w:color w:val="1A1A1A" w:themeColor="background1" w:themeShade="1a"/>
                                <w:sz w:val="24"/>
                                <w:szCs w:val="24"/>
                                <w:lang w:val="uk-UA" w:eastAsia="en-US"/>
                              </w:rPr>
                              <w:t>(лінійний прогноз)</w:t>
                            </w:r>
                          </w:p>
                        </w:tc>
                      </w:tr>
                    </w:tbl>
                    <w:p>
                      <w:pPr>
                        <w:pStyle w:val="Style31"/>
                        <w:spacing w:before="0" w:after="200"/>
                        <w:rPr/>
                      </w:pPr>
                      <w:r>
                        <w:rPr/>
                      </w:r>
                    </w:p>
                  </w:txbxContent>
                </v:textbox>
              </v:rect>
            </w:pict>
          </mc:Fallback>
        </mc:AlternateContent>
      </w:r>
      <w:r>
        <w:rPr>
          <w:rFonts w:cs="Times New Roman" w:ascii="Times New Roman" w:hAnsi="Times New Roman"/>
          <w:color w:val="1A1A1A" w:themeColor="background1" w:themeShade="1a"/>
          <w:sz w:val="24"/>
          <w:szCs w:val="24"/>
        </w:rPr>
        <w:t>Розподіл населення за віком є доволі типовим для громади з центром у місті, розташованої на суттєвій відстані від обласного центру (рис. 5). Частка осіб працездатного віку становить 51 %. Кращі показники тут має село Роздольне (62%).</w:t>
      </w:r>
    </w:p>
    <w:p>
      <w:pPr>
        <w:pStyle w:val="Normal"/>
        <w:spacing w:lineRule="auto" w:line="240" w:before="0" w:after="0"/>
        <w:ind w:firstLine="709"/>
        <w:jc w:val="both"/>
        <w:rPr>
          <w:rFonts w:ascii="Times New Roman" w:hAnsi="Times New Roman" w:cs="Times New Roman"/>
          <w:color w:val="1A1A1A" w:themeColor="background1" w:themeShade="1a"/>
          <w:sz w:val="24"/>
          <w:szCs w:val="24"/>
        </w:rPr>
      </w:pPr>
      <w:r>
        <w:rPr>
          <w:rFonts w:cs="Times New Roman" w:ascii="Times New Roman" w:hAnsi="Times New Roman"/>
          <w:color w:val="1A1A1A" w:themeColor="background1" w:themeShade="1a"/>
          <w:sz w:val="24"/>
          <w:szCs w:val="24"/>
        </w:rPr>
      </w:r>
    </w:p>
    <w:p>
      <w:pPr>
        <w:pStyle w:val="Normal"/>
        <w:spacing w:lineRule="auto" w:line="240" w:before="0" w:after="0"/>
        <w:ind w:firstLine="709"/>
        <w:jc w:val="both"/>
        <w:rPr>
          <w:rFonts w:ascii="Times New Roman" w:hAnsi="Times New Roman" w:cs="Times New Roman"/>
          <w:b/>
          <w:b/>
          <w:bCs/>
          <w:color w:val="1A1A1A" w:themeColor="background1" w:themeShade="1a"/>
          <w:sz w:val="24"/>
          <w:szCs w:val="24"/>
        </w:rPr>
      </w:pPr>
      <w:r>
        <w:rPr>
          <w:rFonts w:cs="Times New Roman" w:ascii="Times New Roman" w:hAnsi="Times New Roman"/>
          <w:b/>
          <w:bCs/>
          <w:color w:val="1A1A1A" w:themeColor="background1" w:themeShade="1a"/>
          <w:sz w:val="24"/>
          <w:szCs w:val="24"/>
        </w:rPr>
        <mc:AlternateContent>
          <mc:Choice Requires="wps">
            <w:drawing>
              <wp:anchor behindDoc="0" distT="0" distB="0" distL="114300" distR="114300" simplePos="0" locked="0" layoutInCell="1" allowOverlap="1" relativeHeight="4">
                <wp:simplePos x="0" y="0"/>
                <wp:positionH relativeFrom="column">
                  <wp:posOffset>-68580</wp:posOffset>
                </wp:positionH>
                <wp:positionV relativeFrom="paragraph">
                  <wp:posOffset>635</wp:posOffset>
                </wp:positionV>
                <wp:extent cx="6202680" cy="4084320"/>
                <wp:effectExtent l="0" t="0" r="0" b="0"/>
                <wp:wrapSquare wrapText="bothSides"/>
                <wp:docPr id="10" name="Врезка3"/>
                <a:graphic xmlns:a="http://schemas.openxmlformats.org/drawingml/2006/main">
                  <a:graphicData uri="http://schemas.microsoft.com/office/word/2010/wordprocessingShape">
                    <wps:wsp>
                      <wps:cNvSpPr/>
                      <wps:spPr>
                        <a:xfrm>
                          <a:off x="0" y="0"/>
                          <a:ext cx="6202080" cy="4083840"/>
                        </a:xfrm>
                        <a:prstGeom prst="rect">
                          <a:avLst/>
                        </a:prstGeom>
                        <a:noFill/>
                        <a:ln>
                          <a:noFill/>
                        </a:ln>
                      </wps:spPr>
                      <wps:style>
                        <a:lnRef idx="0"/>
                        <a:fillRef idx="0"/>
                        <a:effectRef idx="0"/>
                        <a:fontRef idx="minor"/>
                      </wps:style>
                      <wps:txbx>
                        <w:txbxContent>
                          <w:tbl>
                            <w:tblPr>
                              <w:tblW w:w="9763" w:type="dxa"/>
                              <w:jc w:val="left"/>
                              <w:tblInd w:w="108" w:type="dxa"/>
                              <w:tblBorders/>
                              <w:tblCellMar>
                                <w:top w:w="0" w:type="dxa"/>
                                <w:left w:w="108" w:type="dxa"/>
                                <w:bottom w:w="0" w:type="dxa"/>
                                <w:right w:w="108" w:type="dxa"/>
                              </w:tblCellMar>
                              <w:tblLook w:val="01e0" w:noVBand="0" w:noHBand="0" w:firstRow="1" w:lastRow="1" w:firstColumn="1" w:lastColumn="1"/>
                            </w:tblPr>
                            <w:tblGrid>
                              <w:gridCol w:w="9763"/>
                            </w:tblGrid>
                            <w:tr>
                              <w:trPr/>
                              <w:tc>
                                <w:tcPr>
                                  <w:tcW w:w="9763" w:type="dxa"/>
                                  <w:tcBorders/>
                                  <w:shd w:fill="auto" w:val="clear"/>
                                </w:tcPr>
                                <w:p>
                                  <w:pPr>
                                    <w:pStyle w:val="Normal"/>
                                    <w:spacing w:lineRule="auto" w:line="240" w:before="120" w:after="120"/>
                                    <w:jc w:val="center"/>
                                    <w:rPr/>
                                  </w:pPr>
                                  <w:r>
                                    <w:rPr/>
                                    <w:drawing>
                                      <wp:inline distT="0" distB="0" distL="0" distR="0">
                                        <wp:extent cx="6062980" cy="3747770"/>
                                        <wp:effectExtent l="0" t="0" r="0" b="0"/>
                                        <wp:docPr id="12" name="Рисунок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23" descr=""/>
                                                <pic:cNvPicPr>
                                                  <a:picLocks noChangeAspect="1" noChangeArrowheads="1"/>
                                                </pic:cNvPicPr>
                                              </pic:nvPicPr>
                                              <pic:blipFill>
                                                <a:blip r:embed="rId7"/>
                                                <a:stretch>
                                                  <a:fillRect/>
                                                </a:stretch>
                                              </pic:blipFill>
                                              <pic:spPr bwMode="auto">
                                                <a:xfrm>
                                                  <a:off x="0" y="0"/>
                                                  <a:ext cx="6062980" cy="3747770"/>
                                                </a:xfrm>
                                                <a:prstGeom prst="rect">
                                                  <a:avLst/>
                                                </a:prstGeom>
                                              </pic:spPr>
                                            </pic:pic>
                                          </a:graphicData>
                                        </a:graphic>
                                      </wp:inline>
                                    </w:drawing>
                                  </w:r>
                                </w:p>
                                <w:p>
                                  <w:pPr>
                                    <w:pStyle w:val="ListParagraph"/>
                                    <w:numPr>
                                      <w:ilvl w:val="0"/>
                                      <w:numId w:val="3"/>
                                    </w:numPr>
                                    <w:tabs>
                                      <w:tab w:val="left" w:pos="1260" w:leader="none"/>
                                    </w:tabs>
                                    <w:spacing w:lineRule="auto" w:line="240"/>
                                    <w:rPr/>
                                  </w:pPr>
                                  <w:bookmarkStart w:id="37" w:name="_Hlk211946931"/>
                                  <w:bookmarkEnd w:id="37"/>
                                  <w:r>
                                    <w:rPr>
                                      <w:rFonts w:cs="Times New Roman" w:ascii="Times New Roman" w:hAnsi="Times New Roman"/>
                                      <w:b/>
                                      <w:color w:val="1A1A1A" w:themeColor="background1" w:themeShade="1a"/>
                                      <w:sz w:val="24"/>
                                      <w:szCs w:val="24"/>
                                      <w:lang w:val="uk-UA"/>
                                    </w:rPr>
                                    <w:t>Розподіл населення за віком</w:t>
                                  </w:r>
                                </w:p>
                              </w:tc>
                            </w:tr>
                          </w:tbl>
                          <w:p>
                            <w:pPr>
                              <w:pStyle w:val="Style31"/>
                              <w:spacing w:before="0" w:after="200"/>
                              <w:rPr/>
                            </w:pPr>
                            <w:r>
                              <w:rPr/>
                            </w:r>
                          </w:p>
                        </w:txbxContent>
                      </wps:txbx>
                      <wps:bodyPr lIns="90000" rIns="90000" tIns="45000" bIns="45000">
                        <a:noAutofit/>
                      </wps:bodyPr>
                    </wps:wsp>
                  </a:graphicData>
                </a:graphic>
              </wp:anchor>
            </w:drawing>
          </mc:Choice>
          <mc:Fallback>
            <w:pict>
              <v:rect id="shape_0" ID="Врезка3" stroked="f" style="position:absolute;margin-left:-5.4pt;margin-top:0.05pt;width:488.3pt;height:321.5pt">
                <w10:wrap type="none"/>
                <v:fill o:detectmouseclick="t" on="false"/>
                <v:stroke color="#3465a4" joinstyle="round" endcap="flat"/>
                <v:textbox>
                  <w:txbxContent>
                    <w:tbl>
                      <w:tblPr>
                        <w:tblW w:w="9763" w:type="dxa"/>
                        <w:jc w:val="left"/>
                        <w:tblInd w:w="108" w:type="dxa"/>
                        <w:tblBorders/>
                        <w:tblCellMar>
                          <w:top w:w="0" w:type="dxa"/>
                          <w:left w:w="108" w:type="dxa"/>
                          <w:bottom w:w="0" w:type="dxa"/>
                          <w:right w:w="108" w:type="dxa"/>
                        </w:tblCellMar>
                        <w:tblLook w:val="01e0" w:noVBand="0" w:noHBand="0" w:firstRow="1" w:lastRow="1" w:firstColumn="1" w:lastColumn="1"/>
                      </w:tblPr>
                      <w:tblGrid>
                        <w:gridCol w:w="9763"/>
                      </w:tblGrid>
                      <w:tr>
                        <w:trPr/>
                        <w:tc>
                          <w:tcPr>
                            <w:tcW w:w="9763" w:type="dxa"/>
                            <w:tcBorders/>
                            <w:shd w:fill="auto" w:val="clear"/>
                          </w:tcPr>
                          <w:p>
                            <w:pPr>
                              <w:pStyle w:val="Normal"/>
                              <w:spacing w:lineRule="auto" w:line="240" w:before="120" w:after="120"/>
                              <w:jc w:val="center"/>
                              <w:rPr/>
                            </w:pPr>
                            <w:r>
                              <w:rPr/>
                              <w:drawing>
                                <wp:inline distT="0" distB="0" distL="0" distR="0">
                                  <wp:extent cx="6062980" cy="3747770"/>
                                  <wp:effectExtent l="0" t="0" r="0" b="0"/>
                                  <wp:docPr id="13" name="Рисунок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23" descr=""/>
                                          <pic:cNvPicPr>
                                            <a:picLocks noChangeAspect="1" noChangeArrowheads="1"/>
                                          </pic:cNvPicPr>
                                        </pic:nvPicPr>
                                        <pic:blipFill>
                                          <a:blip r:embed="rId7"/>
                                          <a:stretch>
                                            <a:fillRect/>
                                          </a:stretch>
                                        </pic:blipFill>
                                        <pic:spPr bwMode="auto">
                                          <a:xfrm>
                                            <a:off x="0" y="0"/>
                                            <a:ext cx="6062980" cy="3747770"/>
                                          </a:xfrm>
                                          <a:prstGeom prst="rect">
                                            <a:avLst/>
                                          </a:prstGeom>
                                        </pic:spPr>
                                      </pic:pic>
                                    </a:graphicData>
                                  </a:graphic>
                                </wp:inline>
                              </w:drawing>
                            </w:r>
                          </w:p>
                          <w:p>
                            <w:pPr>
                              <w:pStyle w:val="ListParagraph"/>
                              <w:numPr>
                                <w:ilvl w:val="0"/>
                                <w:numId w:val="3"/>
                              </w:numPr>
                              <w:tabs>
                                <w:tab w:val="left" w:pos="1260" w:leader="none"/>
                              </w:tabs>
                              <w:spacing w:lineRule="auto" w:line="240"/>
                              <w:rPr/>
                            </w:pPr>
                            <w:bookmarkStart w:id="38" w:name="_Hlk211946931"/>
                            <w:bookmarkEnd w:id="38"/>
                            <w:r>
                              <w:rPr>
                                <w:rFonts w:cs="Times New Roman" w:ascii="Times New Roman" w:hAnsi="Times New Roman"/>
                                <w:b/>
                                <w:color w:val="1A1A1A" w:themeColor="background1" w:themeShade="1a"/>
                                <w:sz w:val="24"/>
                                <w:szCs w:val="24"/>
                                <w:lang w:val="uk-UA"/>
                              </w:rPr>
                              <w:t>Розподіл населення за віком</w:t>
                            </w:r>
                          </w:p>
                        </w:tc>
                      </w:tr>
                    </w:tbl>
                    <w:p>
                      <w:pPr>
                        <w:pStyle w:val="Style31"/>
                        <w:spacing w:before="0" w:after="200"/>
                        <w:rPr/>
                      </w:pPr>
                      <w:r>
                        <w:rPr/>
                      </w:r>
                    </w:p>
                  </w:txbxContent>
                </v:textbox>
              </v:rect>
            </w:pict>
          </mc:Fallback>
        </mc:AlternateContent>
      </w:r>
    </w:p>
    <w:p>
      <w:pPr>
        <w:pStyle w:val="Normal"/>
        <w:spacing w:lineRule="auto" w:line="240" w:before="0" w:after="0"/>
        <w:ind w:firstLine="709"/>
        <w:jc w:val="both"/>
        <w:rPr>
          <w:rFonts w:ascii="Times New Roman" w:hAnsi="Times New Roman" w:cs="Times New Roman"/>
          <w:color w:val="1A1A1A" w:themeColor="background1" w:themeShade="1a"/>
          <w:sz w:val="24"/>
          <w:szCs w:val="24"/>
        </w:rPr>
      </w:pPr>
      <w:r>
        <w:rPr>
          <w:rFonts w:cs="Times New Roman" w:ascii="Times New Roman" w:hAnsi="Times New Roman"/>
          <w:b/>
          <w:bCs/>
          <w:color w:val="1A1A1A" w:themeColor="background1" w:themeShade="1a"/>
          <w:sz w:val="24"/>
          <w:szCs w:val="24"/>
        </w:rPr>
        <w:t>Мережа закладів освіти</w:t>
      </w:r>
      <w:r>
        <w:rPr>
          <w:rFonts w:cs="Times New Roman" w:ascii="Times New Roman" w:hAnsi="Times New Roman"/>
          <w:color w:val="1A1A1A" w:themeColor="background1" w:themeShade="1a"/>
          <w:sz w:val="24"/>
          <w:szCs w:val="24"/>
        </w:rPr>
        <w:t xml:space="preserve"> Каховської територіальної громади складається з 11 закладів загальної середньої освіти, в яких здобуває освіту 4804 учнів. </w:t>
      </w:r>
    </w:p>
    <w:p>
      <w:pPr>
        <w:pStyle w:val="Normal"/>
        <w:spacing w:lineRule="auto" w:line="240" w:before="0" w:after="0"/>
        <w:ind w:firstLine="709"/>
        <w:jc w:val="both"/>
        <w:rPr>
          <w:rFonts w:ascii="Times New Roman" w:hAnsi="Times New Roman" w:cs="Times New Roman"/>
          <w:color w:val="1A1A1A" w:themeColor="background1" w:themeShade="1a"/>
          <w:sz w:val="24"/>
          <w:szCs w:val="24"/>
        </w:rPr>
      </w:pPr>
      <w:r>
        <w:rPr>
          <w:rFonts w:cs="Times New Roman" w:ascii="Times New Roman" w:hAnsi="Times New Roman"/>
          <w:color w:val="1A1A1A" w:themeColor="background1" w:themeShade="1a"/>
          <w:sz w:val="24"/>
          <w:szCs w:val="24"/>
        </w:rPr>
        <w:t xml:space="preserve">Громада має гарні показники середньої освіти. Так, за інформацією сайту </w:t>
      </w:r>
      <w:r>
        <w:rPr>
          <w:rFonts w:cs="Times New Roman" w:ascii="Times New Roman" w:hAnsi="Times New Roman"/>
          <w:color w:val="1A1A1A" w:themeColor="background1" w:themeShade="1a"/>
          <w:sz w:val="24"/>
          <w:szCs w:val="24"/>
          <w:lang w:val="en-US"/>
        </w:rPr>
        <w:t>osvita</w:t>
      </w:r>
      <w:r>
        <w:rPr>
          <w:rFonts w:cs="Times New Roman" w:ascii="Times New Roman" w:hAnsi="Times New Roman"/>
          <w:color w:val="1A1A1A" w:themeColor="background1" w:themeShade="1a"/>
          <w:sz w:val="24"/>
          <w:szCs w:val="24"/>
        </w:rPr>
        <w:t>.</w:t>
      </w:r>
      <w:r>
        <w:rPr>
          <w:rFonts w:cs="Times New Roman" w:ascii="Times New Roman" w:hAnsi="Times New Roman"/>
          <w:color w:val="1A1A1A" w:themeColor="background1" w:themeShade="1a"/>
          <w:sz w:val="24"/>
          <w:szCs w:val="24"/>
          <w:lang w:val="en-US"/>
        </w:rPr>
        <w:t>ua</w:t>
      </w:r>
      <w:r>
        <w:rPr>
          <w:rFonts w:cs="Times New Roman" w:ascii="Times New Roman" w:hAnsi="Times New Roman"/>
          <w:color w:val="1A1A1A" w:themeColor="background1" w:themeShade="1a"/>
          <w:sz w:val="24"/>
          <w:szCs w:val="24"/>
        </w:rPr>
        <w:t>, Каховський НВК «Гімназія-спеціалізована школа І ст. з поглибленим вивченням іноземних мов» займає 2 рейтингове місце серед шкіл Херсонщини з середнім балом ЗНО-2020 163,6 бали. Також у рейтингу кращих шкіл області Каховська спеціалізована ЗОШ I-III ст. № 2 з поглибленим вивченням іноземних мов (8 місце, 149,4 бали), Каховська ЗОШ I-III ст. № 4 (27 місце, 137,2 бали),</w:t>
      </w:r>
      <w:r>
        <w:rPr/>
        <w:t xml:space="preserve"> </w:t>
      </w:r>
      <w:r>
        <w:rPr>
          <w:rFonts w:cs="Times New Roman" w:ascii="Times New Roman" w:hAnsi="Times New Roman"/>
          <w:color w:val="1A1A1A" w:themeColor="background1" w:themeShade="1a"/>
          <w:sz w:val="24"/>
          <w:szCs w:val="24"/>
        </w:rPr>
        <w:t>Малокаховський заклад ЗСО (47 місце, 134,8 бали).</w:t>
      </w:r>
    </w:p>
    <w:p>
      <w:pPr>
        <w:pStyle w:val="Normal"/>
        <w:spacing w:lineRule="auto" w:line="240" w:before="0" w:after="0"/>
        <w:ind w:firstLine="709"/>
        <w:jc w:val="both"/>
        <w:rPr>
          <w:rFonts w:ascii="Times New Roman" w:hAnsi="Times New Roman" w:cs="Times New Roman"/>
          <w:color w:val="1A1A1A" w:themeColor="background1" w:themeShade="1a"/>
          <w:sz w:val="24"/>
          <w:szCs w:val="24"/>
        </w:rPr>
      </w:pPr>
      <w:r>
        <w:rPr>
          <w:rFonts w:cs="Times New Roman" w:ascii="Times New Roman" w:hAnsi="Times New Roman"/>
          <w:color w:val="1A1A1A" w:themeColor="background1" w:themeShade="1a"/>
          <w:sz w:val="24"/>
          <w:szCs w:val="24"/>
        </w:rPr>
        <w:t>Нагальною проблемою залишається забезпеченість вчителів і учнів новими підручниками та наповнюваність шкільних бібліотек книгами та підручниками, які б відповідали навчальним планам. Великою проблемою є технічне оснащення комп’ютерних класів та доступність мешканців до мережі «internet» в цілому. Також дуже гостро стоїть проблема стану приміщень навчальних закладів та їх енергоефективність. Серед навчальних закладів є такі, які потребують термінового ремонту. Енергоефективність є загальною проблемою навчальних закладів громади. Заміна вікон на енергозберігаючі, загальне утеплення фасаду будівель є одним із пріоритетних завдань в освітній галузі.</w:t>
      </w:r>
    </w:p>
    <w:p>
      <w:pPr>
        <w:pStyle w:val="Normal"/>
        <w:spacing w:lineRule="auto" w:line="240" w:before="120" w:after="0"/>
        <w:ind w:firstLine="709"/>
        <w:jc w:val="both"/>
        <w:rPr>
          <w:rFonts w:ascii="Times New Roman" w:hAnsi="Times New Roman" w:cs="Times New Roman"/>
          <w:color w:val="1A1A1A" w:themeColor="background1" w:themeShade="1a"/>
          <w:sz w:val="24"/>
          <w:szCs w:val="24"/>
        </w:rPr>
      </w:pPr>
      <w:r>
        <w:rPr>
          <w:rFonts w:cs="Times New Roman" w:ascii="Times New Roman" w:hAnsi="Times New Roman"/>
          <w:color w:val="1A1A1A" w:themeColor="background1" w:themeShade="1a"/>
          <w:sz w:val="24"/>
          <w:szCs w:val="24"/>
        </w:rPr>
        <w:t xml:space="preserve">Послуги </w:t>
      </w:r>
      <w:r>
        <w:rPr>
          <w:rFonts w:cs="Times New Roman" w:ascii="Times New Roman" w:hAnsi="Times New Roman"/>
          <w:b/>
          <w:bCs/>
          <w:color w:val="1A1A1A" w:themeColor="background1" w:themeShade="1a"/>
          <w:sz w:val="24"/>
          <w:szCs w:val="24"/>
        </w:rPr>
        <w:t>дошкільної освіти</w:t>
      </w:r>
      <w:r>
        <w:rPr>
          <w:rFonts w:cs="Times New Roman" w:ascii="Times New Roman" w:hAnsi="Times New Roman"/>
          <w:color w:val="1A1A1A" w:themeColor="background1" w:themeShade="1a"/>
          <w:sz w:val="24"/>
          <w:szCs w:val="24"/>
        </w:rPr>
        <w:t xml:space="preserve"> надаються у 12 дошкільних закладах. Усі будівлі радянських часів та потребують ремонтних робіт. Головні проблеми: потреба у капітальних ремонтах будівель, приміщень, харчоблоків, систем водопостачання, водовідведення, систем опалення, дахів, опалубки, прогулянкових майданчиків,  поповнення матеріально-технічної бази. </w:t>
      </w:r>
    </w:p>
    <w:p>
      <w:pPr>
        <w:pStyle w:val="Normal"/>
        <w:spacing w:lineRule="auto" w:line="240" w:before="0" w:after="0"/>
        <w:ind w:firstLine="709"/>
        <w:jc w:val="both"/>
        <w:rPr>
          <w:rFonts w:ascii="Times New Roman" w:hAnsi="Times New Roman" w:cs="Times New Roman"/>
          <w:color w:val="1A1A1A" w:themeColor="background1" w:themeShade="1a"/>
          <w:sz w:val="24"/>
          <w:szCs w:val="24"/>
        </w:rPr>
      </w:pPr>
      <w:r>
        <w:rPr>
          <w:rFonts w:cs="Times New Roman" w:ascii="Times New Roman" w:hAnsi="Times New Roman"/>
          <w:color w:val="1A1A1A" w:themeColor="background1" w:themeShade="1a"/>
          <w:sz w:val="24"/>
          <w:szCs w:val="24"/>
        </w:rPr>
        <w:t>Потреби у відкритті нових груп та створення  додаткових  місць у діючих закладах дошкільної освіти на даний час немає.</w:t>
      </w:r>
    </w:p>
    <w:p>
      <w:pPr>
        <w:pStyle w:val="Normal"/>
        <w:spacing w:lineRule="auto" w:line="240" w:before="120" w:after="0"/>
        <w:ind w:firstLine="709"/>
        <w:jc w:val="both"/>
        <w:rPr>
          <w:rFonts w:ascii="Times New Roman" w:hAnsi="Times New Roman" w:eastAsia="Arial" w:cs="Times New Roman"/>
          <w:color w:val="1A1A1A"/>
          <w:sz w:val="24"/>
          <w:szCs w:val="24"/>
        </w:rPr>
      </w:pPr>
      <w:r>
        <w:rPr>
          <w:rFonts w:eastAsia="Arial" w:cs="Times New Roman" w:ascii="Times New Roman" w:hAnsi="Times New Roman"/>
          <w:color w:val="1A1A1A"/>
          <w:sz w:val="24"/>
          <w:szCs w:val="24"/>
        </w:rPr>
        <w:t xml:space="preserve">У громаді працюють два заклади </w:t>
      </w:r>
      <w:r>
        <w:rPr>
          <w:rFonts w:eastAsia="Arial" w:cs="Times New Roman" w:ascii="Times New Roman" w:hAnsi="Times New Roman"/>
          <w:b/>
          <w:bCs/>
          <w:color w:val="1A1A1A"/>
          <w:sz w:val="24"/>
          <w:szCs w:val="24"/>
        </w:rPr>
        <w:t>професійної освіти</w:t>
      </w:r>
      <w:r>
        <w:rPr>
          <w:rFonts w:eastAsia="Arial" w:cs="Times New Roman" w:ascii="Times New Roman" w:hAnsi="Times New Roman"/>
          <w:color w:val="1A1A1A"/>
          <w:sz w:val="24"/>
          <w:szCs w:val="24"/>
        </w:rPr>
        <w:t xml:space="preserve"> - Державний навчальний заклад «Каховський професійний ліцей сфери послуг» (спеціальності: перукар, кравець, візажист, манікюрник, педікюрник) та Каховський державний агротехнічний коледж (спеціальності: агрономія; харчові технології; облік і оподаткування; фінанси, банківська справа та страхування; технологія виробництва та переробки продукції тваринництва; ветеринарна медицина).</w:t>
      </w:r>
    </w:p>
    <w:p>
      <w:pPr>
        <w:pStyle w:val="Normal"/>
        <w:spacing w:lineRule="auto" w:line="240" w:before="120" w:after="0"/>
        <w:ind w:firstLine="709"/>
        <w:jc w:val="both"/>
        <w:rPr>
          <w:rFonts w:ascii="Times New Roman" w:hAnsi="Times New Roman" w:eastAsia="Arial" w:cs="Times New Roman"/>
          <w:color w:val="1A1A1A"/>
          <w:sz w:val="24"/>
          <w:szCs w:val="24"/>
        </w:rPr>
      </w:pPr>
      <w:r>
        <w:rPr>
          <w:rFonts w:eastAsia="Arial" w:cs="Times New Roman" w:ascii="Times New Roman" w:hAnsi="Times New Roman"/>
          <w:color w:val="1A1A1A"/>
          <w:sz w:val="24"/>
          <w:szCs w:val="24"/>
        </w:rPr>
        <w:t xml:space="preserve">Послуги </w:t>
      </w:r>
      <w:r>
        <w:rPr>
          <w:rFonts w:eastAsia="Arial" w:cs="Times New Roman" w:ascii="Times New Roman" w:hAnsi="Times New Roman"/>
          <w:b/>
          <w:bCs/>
          <w:color w:val="1A1A1A"/>
          <w:sz w:val="24"/>
          <w:szCs w:val="24"/>
        </w:rPr>
        <w:t>позашкільної освіти</w:t>
      </w:r>
      <w:r>
        <w:rPr>
          <w:rFonts w:eastAsia="Arial" w:cs="Times New Roman" w:ascii="Times New Roman" w:hAnsi="Times New Roman"/>
          <w:color w:val="1A1A1A"/>
          <w:sz w:val="24"/>
          <w:szCs w:val="24"/>
        </w:rPr>
        <w:t xml:space="preserve"> надають 5 закладів: Центр дитячої творчості, Комунальний заклад «Станція юних техніків», Станція юних натуралістів, Комунальний заклад Міжшкільний навчально-виробничий комбінат, Комунальний заклад «Дитячо-юнацька спортивна школа».</w:t>
      </w:r>
    </w:p>
    <w:p>
      <w:pPr>
        <w:pStyle w:val="Normal"/>
        <w:spacing w:lineRule="auto" w:line="240" w:before="120" w:after="0"/>
        <w:ind w:firstLine="709"/>
        <w:jc w:val="both"/>
        <w:rPr/>
      </w:pPr>
      <w:r>
        <w:rPr>
          <w:rFonts w:cs="Times New Roman" w:ascii="Times New Roman" w:hAnsi="Times New Roman"/>
          <w:color w:val="1A1A1A" w:themeColor="background1" w:themeShade="1a"/>
          <w:sz w:val="24"/>
          <w:szCs w:val="24"/>
        </w:rPr>
        <w:t xml:space="preserve">На території Каховської громади здійснюють свою діяльність </w:t>
      </w:r>
      <w:r>
        <w:rPr>
          <w:rFonts w:cs="Times New Roman" w:ascii="Times New Roman" w:hAnsi="Times New Roman"/>
          <w:color w:val="1A1A1A" w:themeColor="background1" w:themeShade="1a"/>
          <w:sz w:val="24"/>
          <w:szCs w:val="24"/>
          <w:highlight w:val="white"/>
        </w:rPr>
        <w:t xml:space="preserve">54 </w:t>
      </w:r>
      <w:r>
        <w:rPr>
          <w:rFonts w:cs="Times New Roman" w:ascii="Times New Roman" w:hAnsi="Times New Roman"/>
          <w:b w:val="false"/>
          <w:bCs w:val="false"/>
          <w:color w:val="1A1A1A" w:themeColor="background1" w:themeShade="1a"/>
          <w:sz w:val="24"/>
          <w:szCs w:val="24"/>
          <w:highlight w:val="white"/>
        </w:rPr>
        <w:t>громадські організації,</w:t>
      </w:r>
      <w:r>
        <w:rPr>
          <w:rFonts w:cs="Times New Roman" w:ascii="Times New Roman" w:hAnsi="Times New Roman"/>
          <w:color w:val="1A1A1A" w:themeColor="background1" w:themeShade="1a"/>
          <w:sz w:val="24"/>
          <w:szCs w:val="24"/>
          <w:highlight w:val="white"/>
        </w:rPr>
        <w:t xml:space="preserve"> об’єднання та спілки. Серед них найбільш активними та впливовими є молодіжні громадські організації: Каховська міська молодіжна громадська організація "Мотоклуб "Колеса дракона", Каховська міська молодіжна громадська організація "Діло", ГО «Каховська Відкрита Ліга гумору» , ГО «Нічна мана» тощо. Представники молодіжних організацій та активісти молодіжного руху міста входять до складу ради з питань молодіжної політики</w:t>
      </w:r>
    </w:p>
    <w:p>
      <w:pPr>
        <w:pStyle w:val="Normal"/>
        <w:spacing w:lineRule="auto" w:line="240" w:before="0" w:after="0"/>
        <w:ind w:firstLine="709"/>
        <w:jc w:val="both"/>
        <w:rPr>
          <w:rFonts w:ascii="Times New Roman" w:hAnsi="Times New Roman" w:cs="Times New Roman"/>
          <w:color w:val="1A1A1A" w:themeColor="background1" w:themeShade="1a"/>
          <w:sz w:val="24"/>
          <w:szCs w:val="24"/>
        </w:rPr>
      </w:pPr>
      <w:r>
        <w:rPr>
          <w:rFonts w:cs="Times New Roman" w:ascii="Times New Roman" w:hAnsi="Times New Roman"/>
          <w:color w:val="1A1A1A" w:themeColor="background1" w:themeShade="1a"/>
          <w:sz w:val="24"/>
          <w:szCs w:val="24"/>
          <w:highlight w:val="white"/>
        </w:rPr>
        <w:t xml:space="preserve">При виконавчому комітеті Каховської міської ради утворена та активно працює Громадська рада (забезпечена приміщеннями, засобами зв’язку, їй створено умови для роботи  та проведення  засідань, результати засідань висвітлюються на офіційному сайті територіальної громади). </w:t>
      </w:r>
    </w:p>
    <w:p>
      <w:pPr>
        <w:pStyle w:val="Normal"/>
        <w:spacing w:lineRule="auto" w:line="240" w:before="0" w:after="0"/>
        <w:ind w:firstLine="709"/>
        <w:jc w:val="both"/>
        <w:rPr>
          <w:rFonts w:ascii="Times New Roman" w:hAnsi="Times New Roman" w:cs="Times New Roman"/>
          <w:color w:val="1A1A1A" w:themeColor="background1" w:themeShade="1a"/>
          <w:sz w:val="24"/>
          <w:szCs w:val="24"/>
        </w:rPr>
      </w:pPr>
      <w:r>
        <w:rPr>
          <w:rFonts w:cs="Times New Roman" w:ascii="Times New Roman" w:hAnsi="Times New Roman"/>
          <w:color w:val="1A1A1A" w:themeColor="background1" w:themeShade="1a"/>
          <w:sz w:val="24"/>
          <w:szCs w:val="24"/>
          <w:highlight w:val="white"/>
        </w:rPr>
        <w:t xml:space="preserve">Громадські організації та активісти громадського руху мають підтримку влади у вигляді бюджету участі та конкурсу соціальних проєктів та програм з молодіжних проблем, які фінансуються за рахунок місцевого бюджету, </w:t>
      </w:r>
    </w:p>
    <w:p>
      <w:pPr>
        <w:pStyle w:val="Normal"/>
        <w:spacing w:lineRule="auto" w:line="240" w:before="120" w:after="0"/>
        <w:ind w:firstLine="709"/>
        <w:jc w:val="both"/>
        <w:rPr>
          <w:color w:themeColor="background1" w:themeShade="1a"/>
          <w:highlight w:val="white"/>
        </w:rPr>
      </w:pPr>
      <w:r>
        <w:rPr>
          <w:rFonts w:cs="Times New Roman" w:ascii="Times New Roman" w:hAnsi="Times New Roman"/>
          <w:color w:val="1A1A1A" w:themeColor="background1" w:themeShade="1a"/>
          <w:sz w:val="24"/>
          <w:szCs w:val="24"/>
          <w:highlight w:val="white"/>
        </w:rPr>
        <w:t xml:space="preserve">Кризові явища 2020-2021 років дещо негативно плинули на </w:t>
      </w:r>
      <w:r>
        <w:rPr>
          <w:rFonts w:cs="Times New Roman" w:ascii="Times New Roman" w:hAnsi="Times New Roman"/>
          <w:b/>
          <w:bCs/>
          <w:color w:val="1A1A1A" w:themeColor="background1" w:themeShade="1a"/>
          <w:sz w:val="24"/>
          <w:szCs w:val="24"/>
          <w:highlight w:val="white"/>
        </w:rPr>
        <w:t>зайнятість</w:t>
      </w:r>
      <w:r>
        <w:rPr>
          <w:rFonts w:cs="Times New Roman" w:ascii="Times New Roman" w:hAnsi="Times New Roman"/>
          <w:color w:val="1A1A1A" w:themeColor="background1" w:themeShade="1a"/>
          <w:sz w:val="24"/>
          <w:szCs w:val="24"/>
          <w:highlight w:val="white"/>
        </w:rPr>
        <w:t xml:space="preserve"> у громаді. Водночас, структура зайнятості виглядає збалансованою, частка працівників бюджетної сфери становить 41% від загальної кількості штатних працівників (рис. 6). Офіційний рівень безробіття становить 7,9% і є меншим за середній показник регіону – 9,3%. </w:t>
      </w:r>
    </w:p>
    <w:p>
      <w:pPr>
        <w:pStyle w:val="Normal"/>
        <w:spacing w:lineRule="auto" w:line="240" w:before="120" w:after="0"/>
        <w:ind w:firstLine="709"/>
        <w:jc w:val="both"/>
        <w:rPr>
          <w:color w:themeColor="background1" w:themeShade="1a"/>
          <w:highlight w:val="white"/>
        </w:rPr>
      </w:pPr>
      <w:r>
        <w:rPr>
          <w:rFonts w:cs="Times New Roman" w:ascii="Times New Roman" w:hAnsi="Times New Roman"/>
          <w:color w:val="1A1A1A" w:themeColor="background1" w:themeShade="1a"/>
          <w:sz w:val="24"/>
          <w:szCs w:val="24"/>
          <w:highlight w:val="white"/>
        </w:rPr>
        <w:t>Показник с</w:t>
      </w:r>
      <w:r>
        <w:rPr>
          <w:rFonts w:cs="Times New Roman" w:ascii="Times New Roman" w:hAnsi="Times New Roman"/>
          <w:b/>
          <w:bCs/>
          <w:color w:val="1A1A1A" w:themeColor="background1" w:themeShade="1a"/>
          <w:sz w:val="24"/>
          <w:szCs w:val="24"/>
          <w:highlight w:val="white"/>
        </w:rPr>
        <w:t>ередньої заробітної плати</w:t>
      </w:r>
      <w:r>
        <w:rPr>
          <w:rFonts w:cs="Times New Roman" w:ascii="Times New Roman" w:hAnsi="Times New Roman"/>
          <w:color w:val="1A1A1A" w:themeColor="background1" w:themeShade="1a"/>
          <w:sz w:val="24"/>
          <w:szCs w:val="24"/>
          <w:highlight w:val="white"/>
        </w:rPr>
        <w:t xml:space="preserve"> у громаді за 2020 рік становить 10136,75 грн .</w:t>
      </w:r>
    </w:p>
    <w:p>
      <w:pPr>
        <w:pStyle w:val="Normal"/>
        <w:shd w:val="clear" w:color="auto" w:fill="FFFFFF"/>
        <w:spacing w:lineRule="auto" w:line="240" w:before="120" w:after="0"/>
        <w:ind w:firstLine="709"/>
        <w:jc w:val="both"/>
        <w:rPr>
          <w:rFonts w:ascii="Times New Roman" w:hAnsi="Times New Roman" w:cs="Times New Roman"/>
          <w:color w:val="1A1A1A" w:themeColor="background1" w:themeShade="1a"/>
          <w:sz w:val="24"/>
          <w:szCs w:val="24"/>
        </w:rPr>
      </w:pPr>
      <w:r>
        <w:rPr>
          <w:rFonts w:cs="Times New Roman" w:ascii="Times New Roman" w:hAnsi="Times New Roman"/>
          <w:b/>
          <w:bCs/>
          <w:color w:val="1A1A1A" w:themeColor="background1" w:themeShade="1a"/>
          <w:sz w:val="24"/>
          <w:szCs w:val="24"/>
        </w:rPr>
        <w:t>Соціальну інфраструктуру</w:t>
      </w:r>
      <w:r>
        <w:rPr>
          <w:rFonts w:cs="Times New Roman" w:ascii="Times New Roman" w:hAnsi="Times New Roman"/>
          <w:color w:val="1A1A1A" w:themeColor="background1" w:themeShade="1a"/>
          <w:sz w:val="24"/>
          <w:szCs w:val="24"/>
        </w:rPr>
        <w:t xml:space="preserve"> Каховської  територіальної громади представляють:</w:t>
      </w:r>
    </w:p>
    <w:p>
      <w:pPr>
        <w:pStyle w:val="Normal"/>
        <w:shd w:val="clear" w:color="auto" w:fill="FFFFFF"/>
        <w:spacing w:lineRule="auto" w:line="240" w:before="0" w:after="0"/>
        <w:jc w:val="both"/>
        <w:rPr>
          <w:rFonts w:ascii="Times New Roman" w:hAnsi="Times New Roman" w:cs="Times New Roman"/>
          <w:color w:val="1A1A1A" w:themeColor="background1" w:themeShade="1a"/>
          <w:sz w:val="24"/>
          <w:szCs w:val="24"/>
        </w:rPr>
      </w:pPr>
      <w:r>
        <w:rPr>
          <w:rFonts w:cs="Times New Roman" w:ascii="Times New Roman" w:hAnsi="Times New Roman"/>
          <w:color w:val="1A1A1A" w:themeColor="background1" w:themeShade="1a"/>
          <w:sz w:val="24"/>
          <w:szCs w:val="24"/>
        </w:rPr>
        <w:t>- Управління праці та соціального захисту населення Каховської міської ради;</w:t>
      </w:r>
    </w:p>
    <w:p>
      <w:pPr>
        <w:pStyle w:val="Normal"/>
        <w:shd w:val="clear" w:color="auto" w:fill="FFFFFF"/>
        <w:spacing w:lineRule="auto" w:line="240" w:before="0" w:after="0"/>
        <w:jc w:val="both"/>
        <w:rPr>
          <w:rFonts w:ascii="Times New Roman" w:hAnsi="Times New Roman" w:cs="Times New Roman"/>
          <w:color w:val="1A1A1A" w:themeColor="background1" w:themeShade="1a"/>
          <w:sz w:val="24"/>
          <w:szCs w:val="24"/>
        </w:rPr>
      </w:pPr>
      <w:r>
        <w:rPr>
          <w:rFonts w:cs="Times New Roman" w:ascii="Times New Roman" w:hAnsi="Times New Roman"/>
          <w:color w:val="1A1A1A" w:themeColor="background1" w:themeShade="1a"/>
          <w:sz w:val="24"/>
          <w:szCs w:val="24"/>
        </w:rPr>
        <w:t>- Каховський міськрайонний центр зайнятості;</w:t>
      </w:r>
    </w:p>
    <w:p>
      <w:pPr>
        <w:pStyle w:val="Normal"/>
        <w:shd w:val="clear" w:color="auto" w:fill="FFFFFF"/>
        <w:spacing w:lineRule="auto" w:line="240" w:before="0" w:after="0"/>
        <w:jc w:val="both"/>
        <w:rPr>
          <w:rFonts w:ascii="Times New Roman" w:hAnsi="Times New Roman" w:cs="Times New Roman"/>
          <w:color w:val="1A1A1A" w:themeColor="background1" w:themeShade="1a"/>
          <w:sz w:val="24"/>
          <w:szCs w:val="24"/>
        </w:rPr>
      </w:pPr>
      <w:r>
        <w:rPr>
          <w:rFonts w:cs="Times New Roman" w:ascii="Times New Roman" w:hAnsi="Times New Roman"/>
          <w:color w:val="1A1A1A" w:themeColor="background1" w:themeShade="1a"/>
          <w:sz w:val="24"/>
          <w:szCs w:val="24"/>
        </w:rPr>
        <w:t>- Каховський відділ обслуговування громадян (сервісного центру) Головного управління Пенсійного фонду України в Херсонській області;</w:t>
      </w:r>
    </w:p>
    <w:p>
      <w:pPr>
        <w:pStyle w:val="Normal"/>
        <w:shd w:val="clear" w:color="auto" w:fill="FFFFFF"/>
        <w:spacing w:lineRule="auto" w:line="240" w:before="0" w:after="0"/>
        <w:jc w:val="both"/>
        <w:rPr>
          <w:rFonts w:ascii="Times New Roman" w:hAnsi="Times New Roman" w:cs="Times New Roman"/>
          <w:color w:val="1A1A1A" w:themeColor="background1" w:themeShade="1a"/>
          <w:sz w:val="24"/>
          <w:szCs w:val="24"/>
        </w:rPr>
      </w:pPr>
      <w:r>
        <w:rPr>
          <w:rFonts w:cs="Times New Roman" w:ascii="Times New Roman" w:hAnsi="Times New Roman"/>
          <w:color w:val="1A1A1A" w:themeColor="background1" w:themeShade="1a"/>
          <w:sz w:val="24"/>
          <w:szCs w:val="24"/>
        </w:rPr>
        <w:t>- Територіальний центр соціального обслуговування (надання соціальних послуг);</w:t>
      </w:r>
    </w:p>
    <w:p>
      <w:pPr>
        <w:pStyle w:val="Normal"/>
        <w:shd w:val="clear" w:color="auto" w:fill="FFFFFF"/>
        <w:spacing w:lineRule="auto" w:line="240" w:before="0" w:after="0"/>
        <w:jc w:val="both"/>
        <w:rPr>
          <w:rFonts w:ascii="Times New Roman" w:hAnsi="Times New Roman" w:cs="Times New Roman"/>
          <w:color w:val="1A1A1A" w:themeColor="background1" w:themeShade="1a"/>
          <w:sz w:val="24"/>
          <w:szCs w:val="24"/>
        </w:rPr>
      </w:pPr>
      <w:r>
        <w:rPr>
          <w:rFonts w:cs="Times New Roman" w:ascii="Times New Roman" w:hAnsi="Times New Roman"/>
          <w:color w:val="1A1A1A" w:themeColor="background1" w:themeShade="1a"/>
          <w:sz w:val="24"/>
          <w:szCs w:val="24"/>
        </w:rPr>
        <w:t>- Міський центр соціальних служб сім'ї, дітей та молоді.</w:t>
      </w:r>
    </w:p>
    <w:p>
      <w:pPr>
        <w:pStyle w:val="Normal"/>
        <w:shd w:val="clear" w:color="auto" w:fill="FFFFFF"/>
        <w:spacing w:lineRule="auto" w:line="240" w:before="0" w:after="0"/>
        <w:ind w:firstLine="709"/>
        <w:jc w:val="both"/>
        <w:rPr>
          <w:rFonts w:ascii="Times New Roman" w:hAnsi="Times New Roman" w:eastAsia="Arial" w:cs="Times New Roman"/>
          <w:color w:val="1A1A1A"/>
          <w:sz w:val="24"/>
          <w:szCs w:val="24"/>
          <w:lang w:eastAsia="uk-UA"/>
        </w:rPr>
      </w:pPr>
      <w:r>
        <w:rPr>
          <w:rFonts w:eastAsia="Arial" w:cs="Times New Roman" w:ascii="Times New Roman" w:hAnsi="Times New Roman"/>
          <w:color w:val="1A1A1A"/>
          <w:sz w:val="24"/>
          <w:szCs w:val="24"/>
          <w:lang w:eastAsia="uk-UA"/>
        </w:rPr>
        <w:t>На ближчу перспективу необхідно передбачити оновлення матеріально-технічної бази, а також забезпечити приміщення для зберігання архівних справ всіх видів державної соцдопомоги та субсидій та виділити окреме приміщенні для розміщення Територіального центру соціального обслуговування.</w:t>
      </w:r>
    </w:p>
    <w:p>
      <w:pPr>
        <w:pStyle w:val="Normal"/>
        <w:shd w:val="clear" w:color="auto" w:fill="FFFFFF"/>
        <w:spacing w:lineRule="auto" w:line="240" w:before="120" w:after="0"/>
        <w:ind w:firstLine="709"/>
        <w:jc w:val="both"/>
        <w:rPr>
          <w:rFonts w:ascii="Times New Roman" w:hAnsi="Times New Roman" w:eastAsia="Arial" w:cs="Times New Roman"/>
          <w:color w:val="1A1A1A"/>
          <w:sz w:val="24"/>
          <w:szCs w:val="24"/>
          <w:lang w:eastAsia="uk-UA"/>
        </w:rPr>
      </w:pPr>
      <w:r>
        <w:rPr>
          <w:rFonts w:eastAsia="Arial" w:cs="Times New Roman" w:ascii="Times New Roman" w:hAnsi="Times New Roman"/>
          <w:color w:val="1A1A1A"/>
          <w:sz w:val="24"/>
          <w:szCs w:val="24"/>
          <w:lang w:eastAsia="uk-UA"/>
        </w:rPr>
        <w:t xml:space="preserve">Послуги з </w:t>
      </w:r>
      <w:r>
        <w:rPr>
          <w:rFonts w:eastAsia="Arial" w:cs="Times New Roman" w:ascii="Times New Roman" w:hAnsi="Times New Roman"/>
          <w:b/>
          <w:bCs/>
          <w:color w:val="1A1A1A"/>
          <w:sz w:val="24"/>
          <w:szCs w:val="24"/>
          <w:lang w:eastAsia="uk-UA"/>
        </w:rPr>
        <w:t>охорони здоров'я</w:t>
      </w:r>
      <w:r>
        <w:rPr>
          <w:rFonts w:eastAsia="Arial" w:cs="Times New Roman" w:ascii="Times New Roman" w:hAnsi="Times New Roman"/>
          <w:color w:val="1A1A1A"/>
          <w:sz w:val="24"/>
          <w:szCs w:val="24"/>
          <w:lang w:eastAsia="uk-UA"/>
        </w:rPr>
        <w:t xml:space="preserve"> на території Каховської громади надаються КНП « Каховський МЦПМСД», що здійснює медичне обслуговування населення безпосередньо пов’язане з наданням первинної медико-санітарної допомоги, відповідно до переліку медичних послуг в т.ч. визначених лабораторних та інструментальних діагностичних. До первинної ланки медицини також входять: Амбулаторія загальної практики — сімейної медицини (АЗПСМ ) №1 (м. Каховка), Амбулаторія загальної практики — сімейної медицини (АЗПСМ ) №2 (м. Каховка), Амбулаторія загальної практики — сімейної медицини с. Малокаховка, Амбулаторія загальної практики — сімейної медицини с. Коробки, Амбулаторія загальної практики — сімейної медицини с. Роздольне, Фельдшерський Пункт с. Вільна Україна, Пункт Здоров’я с. Чорноморівка. </w:t>
      </w:r>
    </w:p>
    <w:p>
      <w:pPr>
        <w:pStyle w:val="Normal"/>
        <w:shd w:val="clear" w:color="auto" w:fill="FFFFFF"/>
        <w:spacing w:lineRule="auto" w:line="240" w:before="0" w:after="0"/>
        <w:ind w:firstLine="709"/>
        <w:jc w:val="both"/>
        <w:rPr>
          <w:rFonts w:ascii="Times New Roman" w:hAnsi="Times New Roman" w:eastAsia="Arial" w:cs="Times New Roman"/>
          <w:color w:val="1A1A1A"/>
          <w:sz w:val="24"/>
          <w:szCs w:val="24"/>
          <w:lang w:eastAsia="uk-UA"/>
        </w:rPr>
      </w:pPr>
      <w:r>
        <w:rPr>
          <w:rFonts w:eastAsia="Arial" w:cs="Times New Roman" w:ascii="Times New Roman" w:hAnsi="Times New Roman"/>
          <w:color w:val="1A1A1A"/>
          <w:sz w:val="24"/>
          <w:szCs w:val="24"/>
          <w:lang w:eastAsia="uk-UA"/>
        </w:rPr>
        <w:t>Кількість осіб, які підписали декларації на надання медичного обслуговування – 31987 (майже 73% мешканців громади).</w:t>
      </w:r>
    </w:p>
    <w:p>
      <w:pPr>
        <w:pStyle w:val="Normal"/>
        <w:shd w:val="clear" w:color="auto" w:fill="FFFFFF"/>
        <w:spacing w:lineRule="auto" w:line="240" w:before="0" w:after="0"/>
        <w:ind w:firstLine="709"/>
        <w:jc w:val="both"/>
        <w:rPr>
          <w:rFonts w:ascii="Times New Roman" w:hAnsi="Times New Roman" w:eastAsia="Arial" w:cs="Times New Roman"/>
          <w:color w:val="1A1A1A"/>
          <w:sz w:val="24"/>
          <w:szCs w:val="24"/>
          <w:lang w:eastAsia="uk-UA"/>
        </w:rPr>
      </w:pPr>
      <w:r>
        <w:rPr>
          <w:rFonts w:eastAsia="Arial" w:cs="Times New Roman" w:ascii="Times New Roman" w:hAnsi="Times New Roman"/>
          <w:color w:val="1A1A1A"/>
          <w:sz w:val="24"/>
          <w:szCs w:val="24"/>
          <w:lang w:eastAsia="uk-UA"/>
        </w:rPr>
        <w:t>Проблемні питання:</w:t>
      </w:r>
    </w:p>
    <w:p>
      <w:pPr>
        <w:pStyle w:val="Normal"/>
        <w:shd w:val="clear" w:color="auto" w:fill="FFFFFF"/>
        <w:spacing w:lineRule="auto" w:line="240" w:before="0" w:after="0"/>
        <w:jc w:val="both"/>
        <w:rPr>
          <w:rFonts w:ascii="Times New Roman" w:hAnsi="Times New Roman" w:eastAsia="Arial" w:cs="Times New Roman"/>
          <w:color w:val="1A1A1A"/>
          <w:sz w:val="24"/>
          <w:szCs w:val="24"/>
          <w:lang w:eastAsia="uk-UA"/>
        </w:rPr>
      </w:pPr>
      <w:r>
        <w:rPr>
          <w:rFonts w:eastAsia="Arial" w:cs="Times New Roman" w:ascii="Times New Roman" w:hAnsi="Times New Roman"/>
          <w:color w:val="1A1A1A"/>
          <w:sz w:val="24"/>
          <w:szCs w:val="24"/>
          <w:lang w:eastAsia="uk-UA"/>
        </w:rPr>
        <w:t>- брак фахівців, зокрема лікарів та середнього медперсоналу;</w:t>
      </w:r>
    </w:p>
    <w:p>
      <w:pPr>
        <w:pStyle w:val="Normal"/>
        <w:shd w:val="clear" w:color="auto" w:fill="FFFFFF"/>
        <w:spacing w:lineRule="auto" w:line="240" w:before="0" w:after="0"/>
        <w:jc w:val="both"/>
        <w:rPr>
          <w:rFonts w:ascii="Times New Roman" w:hAnsi="Times New Roman" w:eastAsia="Arial" w:cs="Times New Roman"/>
          <w:color w:val="1A1A1A"/>
          <w:sz w:val="24"/>
          <w:szCs w:val="24"/>
          <w:lang w:eastAsia="uk-UA"/>
        </w:rPr>
      </w:pPr>
      <w:r>
        <w:rPr>
          <w:rFonts w:eastAsia="Arial" w:cs="Times New Roman" w:ascii="Times New Roman" w:hAnsi="Times New Roman"/>
          <w:color w:val="1A1A1A"/>
          <w:sz w:val="24"/>
          <w:szCs w:val="24"/>
          <w:lang w:eastAsia="uk-UA"/>
        </w:rPr>
        <w:t xml:space="preserve">- ремонт приміщень закладів охорони здоров’я, особливо в сільській місцевості; </w:t>
      </w:r>
    </w:p>
    <w:p>
      <w:pPr>
        <w:pStyle w:val="Normal"/>
        <w:shd w:val="clear" w:color="auto" w:fill="FFFFFF"/>
        <w:spacing w:lineRule="auto" w:line="240" w:before="0" w:after="0"/>
        <w:jc w:val="both"/>
        <w:rPr>
          <w:rFonts w:ascii="Times New Roman" w:hAnsi="Times New Roman" w:eastAsia="Arial" w:cs="Times New Roman"/>
          <w:color w:val="1A1A1A"/>
          <w:sz w:val="24"/>
          <w:szCs w:val="24"/>
          <w:lang w:eastAsia="uk-UA"/>
        </w:rPr>
      </w:pPr>
      <w:r>
        <w:rPr>
          <w:rFonts w:eastAsia="Arial" w:cs="Times New Roman" w:ascii="Times New Roman" w:hAnsi="Times New Roman"/>
          <w:color w:val="1A1A1A"/>
          <w:sz w:val="24"/>
          <w:szCs w:val="24"/>
          <w:lang w:eastAsia="uk-UA"/>
        </w:rPr>
        <w:t>- забезпечення доступності будівель та приміщень для осіб з інвалідністю та інших мало мобільних груп населення, відповідно до вимог ДБН В.2.2.-40:2018.</w:t>
      </w:r>
    </w:p>
    <w:p>
      <w:pPr>
        <w:pStyle w:val="Normal"/>
        <w:spacing w:lineRule="auto" w:line="240" w:before="0" w:after="0"/>
        <w:ind w:firstLine="709"/>
        <w:jc w:val="both"/>
        <w:rPr/>
      </w:pPr>
      <w:r>
        <w:rPr>
          <w:rFonts w:eastAsia="Arial" w:cs="Times New Roman" w:ascii="Times New Roman" w:hAnsi="Times New Roman"/>
          <w:color w:val="1A1A1A"/>
          <w:sz w:val="24"/>
          <w:szCs w:val="24"/>
        </w:rPr>
        <w:t>Послуги охорони здоров’я вторинної ланки надає КНП «Каховська центральна міська лікарня», яка</w:t>
      </w:r>
      <w:r>
        <w:rPr>
          <w:rFonts w:eastAsia="Arial" w:cs="Times New Roman" w:ascii="Times New Roman" w:hAnsi="Times New Roman"/>
          <w:color w:val="1A1A1A"/>
          <w:sz w:val="24"/>
          <w:szCs w:val="24"/>
          <w:highlight w:val="white"/>
        </w:rPr>
        <w:t xml:space="preserve"> функціонує потужністю стаціонару на 170 ліжок та консультативно діагностичною поліклінікою. </w:t>
      </w:r>
      <w:r>
        <w:rPr>
          <w:rFonts w:eastAsia="Arial" w:cs="Arial" w:ascii="Times New Roman" w:hAnsi="Times New Roman"/>
          <w:color w:val="1A1A1A"/>
          <w:sz w:val="24"/>
          <w:szCs w:val="24"/>
          <w:highlight w:val="white"/>
        </w:rPr>
        <w:t>КНП «Каховська ЦМЛ» є базовою лікарнею і надає медичну допомогу мешканцям всіх територіальних громад Каховського району і прилеглих районів. За 2020р. у КНП «Каховська ЦМЛ» проведено оперативних втручань: планових-35, екстрених-1748.</w:t>
      </w:r>
    </w:p>
    <w:p>
      <w:pPr>
        <w:pStyle w:val="Normal"/>
        <w:spacing w:lineRule="auto" w:line="240" w:before="0" w:after="0"/>
        <w:ind w:firstLine="709"/>
        <w:jc w:val="both"/>
        <w:rPr>
          <w:highlight w:val="white"/>
        </w:rPr>
      </w:pPr>
      <w:r>
        <w:rPr>
          <w:rFonts w:eastAsia="Arial" w:cs="Times New Roman" w:ascii="Times New Roman" w:hAnsi="Times New Roman"/>
          <w:color w:val="1A1A1A"/>
          <w:sz w:val="24"/>
          <w:szCs w:val="24"/>
          <w:highlight w:val="white"/>
        </w:rPr>
        <w:tab/>
        <w:t>Для забезпечення доступності осіб з інвалідністю та інших маломобільних груп населення КНП «Каховська ЦМЛ» потребує забезпечення в обладнанні пандусів, туалетів та ліфтів.</w:t>
      </w:r>
    </w:p>
    <w:p>
      <w:pPr>
        <w:pStyle w:val="Normal"/>
        <w:spacing w:lineRule="auto" w:line="240" w:before="120" w:after="0"/>
        <w:ind w:firstLine="709"/>
        <w:jc w:val="both"/>
        <w:rPr>
          <w:rFonts w:ascii="Times New Roman" w:hAnsi="Times New Roman" w:eastAsia="Arial" w:cs="Times New Roman"/>
          <w:color w:val="1A1A1A"/>
          <w:sz w:val="24"/>
          <w:szCs w:val="24"/>
        </w:rPr>
      </w:pPr>
      <w:r>
        <w:rPr>
          <w:rFonts w:eastAsia="Arial" w:cs="Times New Roman" w:ascii="Times New Roman" w:hAnsi="Times New Roman"/>
          <w:color w:val="1A1A1A"/>
          <w:sz w:val="24"/>
          <w:szCs w:val="24"/>
        </w:rPr>
        <w:t xml:space="preserve">Для </w:t>
      </w:r>
      <w:r>
        <w:rPr>
          <w:rFonts w:eastAsia="Arial" w:cs="Times New Roman" w:ascii="Times New Roman" w:hAnsi="Times New Roman"/>
          <w:b/>
          <w:bCs/>
          <w:color w:val="1A1A1A"/>
          <w:sz w:val="24"/>
          <w:szCs w:val="24"/>
        </w:rPr>
        <w:t>задоволення культурних потреб</w:t>
      </w:r>
      <w:r>
        <w:rPr>
          <w:rFonts w:eastAsia="Arial" w:cs="Times New Roman" w:ascii="Times New Roman" w:hAnsi="Times New Roman"/>
          <w:color w:val="1A1A1A"/>
          <w:sz w:val="24"/>
          <w:szCs w:val="24"/>
        </w:rPr>
        <w:t xml:space="preserve"> мешканців на території громади працюють 10 закладів: міські Палац культури «Меліоратор», універсальна бібліотека та Каховська школа мистецтв та сільські будинки культури (Малокаховка, Роздольне), клуби (Чорноморівка, Вільна Україна) та бібліотеки (Роздольне, Чорноморівка, Вільна Україна). </w:t>
      </w:r>
    </w:p>
    <w:p>
      <w:pPr>
        <w:pStyle w:val="Normal"/>
        <w:spacing w:lineRule="auto" w:line="240" w:before="0" w:after="0"/>
        <w:ind w:firstLine="709"/>
        <w:jc w:val="both"/>
        <w:rPr>
          <w:rFonts w:ascii="Times New Roman" w:hAnsi="Times New Roman" w:eastAsia="Arial" w:cs="Times New Roman"/>
          <w:color w:val="1A1A1A"/>
          <w:sz w:val="24"/>
          <w:szCs w:val="24"/>
        </w:rPr>
      </w:pPr>
      <w:r>
        <w:rPr>
          <w:rFonts w:eastAsia="Arial" w:cs="Times New Roman" w:ascii="Times New Roman" w:hAnsi="Times New Roman"/>
          <w:color w:val="1A1A1A"/>
          <w:sz w:val="24"/>
          <w:szCs w:val="24"/>
        </w:rPr>
        <w:t xml:space="preserve">Будівлі усіх закладів потребують капітальних ремонтів, повністю або частково. Крім того, повноцінне задоволення культурних потреб мешканців має бути забезпечене оновленням профільної техніки, закупівлями сучасних меблів, різноманітних технічних засобів, художньої літератури для бібліотек. </w:t>
      </w:r>
    </w:p>
    <w:p>
      <w:pPr>
        <w:pStyle w:val="Normal"/>
        <w:spacing w:lineRule="auto" w:line="240" w:before="120" w:after="0"/>
        <w:ind w:firstLine="709"/>
        <w:jc w:val="both"/>
        <w:rPr>
          <w:rFonts w:ascii="Times New Roman" w:hAnsi="Times New Roman" w:eastAsia="Arial" w:cs="Times New Roman"/>
          <w:color w:val="1A1A1A"/>
          <w:sz w:val="24"/>
          <w:szCs w:val="24"/>
        </w:rPr>
      </w:pPr>
      <w:r>
        <w:rPr>
          <w:rFonts w:eastAsia="Arial" w:cs="Times New Roman" w:ascii="Times New Roman" w:hAnsi="Times New Roman"/>
          <w:b/>
          <w:bCs/>
          <w:color w:val="1A1A1A"/>
          <w:sz w:val="24"/>
          <w:szCs w:val="24"/>
        </w:rPr>
        <w:t xml:space="preserve">Спортивна інфраструктура </w:t>
      </w:r>
      <w:r>
        <w:rPr>
          <w:rFonts w:eastAsia="Arial" w:cs="Times New Roman" w:ascii="Times New Roman" w:hAnsi="Times New Roman"/>
          <w:color w:val="1A1A1A"/>
          <w:sz w:val="24"/>
          <w:szCs w:val="24"/>
        </w:rPr>
        <w:t xml:space="preserve">громади. </w:t>
      </w:r>
    </w:p>
    <w:p>
      <w:pPr>
        <w:pStyle w:val="Normal"/>
        <w:spacing w:lineRule="auto" w:line="240" w:before="120" w:after="0"/>
        <w:ind w:firstLine="709"/>
        <w:jc w:val="both"/>
        <w:rPr>
          <w:highlight w:val="white"/>
        </w:rPr>
      </w:pPr>
      <w:r>
        <w:rPr>
          <w:rFonts w:cs="Times New Roman" w:ascii="Times New Roman" w:hAnsi="Times New Roman"/>
          <w:sz w:val="24"/>
          <w:szCs w:val="24"/>
          <w:shd w:fill="FFFFFF" w:val="clear"/>
          <w:lang w:val="uk-UA"/>
        </w:rPr>
        <w:t>Матеріально-технічний стан спортивної бази</w:t>
      </w:r>
      <w:r>
        <w:rPr>
          <w:rFonts w:ascii="Times New Roman" w:hAnsi="Times New Roman"/>
          <w:sz w:val="24"/>
          <w:szCs w:val="24"/>
          <w:highlight w:val="white"/>
        </w:rPr>
        <w:t xml:space="preserve"> Каховської ТГ налічує</w:t>
      </w:r>
      <w:r>
        <w:rPr>
          <w:rFonts w:ascii="Times New Roman" w:hAnsi="Times New Roman"/>
          <w:b/>
          <w:bCs/>
          <w:sz w:val="24"/>
          <w:szCs w:val="24"/>
          <w:highlight w:val="white"/>
        </w:rPr>
        <w:t xml:space="preserve"> </w:t>
      </w:r>
      <w:r>
        <w:rPr>
          <w:rFonts w:ascii="Times New Roman" w:hAnsi="Times New Roman"/>
          <w:bCs/>
          <w:sz w:val="24"/>
          <w:szCs w:val="24"/>
          <w:highlight w:val="white"/>
        </w:rPr>
        <w:t xml:space="preserve">116 </w:t>
      </w:r>
      <w:r>
        <w:rPr>
          <w:rFonts w:ascii="Times New Roman" w:hAnsi="Times New Roman"/>
          <w:sz w:val="24"/>
          <w:szCs w:val="24"/>
          <w:highlight w:val="white"/>
        </w:rPr>
        <w:t xml:space="preserve">фізкультурно-спортивних споруд , з них : </w:t>
      </w:r>
      <w:r>
        <w:rPr>
          <w:rFonts w:ascii="Times New Roman" w:hAnsi="Times New Roman"/>
          <w:bCs/>
          <w:sz w:val="24"/>
          <w:szCs w:val="24"/>
          <w:highlight w:val="white"/>
        </w:rPr>
        <w:t>87 у м. Каховка та 29 у старостинських округах.</w:t>
      </w:r>
    </w:p>
    <w:p>
      <w:pPr>
        <w:pStyle w:val="Normal"/>
        <w:spacing w:lineRule="auto" w:line="240" w:before="0" w:after="86"/>
        <w:ind w:firstLine="708"/>
        <w:jc w:val="both"/>
        <w:rPr>
          <w:highlight w:val="white"/>
        </w:rPr>
      </w:pPr>
      <w:r>
        <w:rPr>
          <w:rFonts w:ascii="Times New Roman" w:hAnsi="Times New Roman"/>
          <w:sz w:val="24"/>
          <w:szCs w:val="24"/>
          <w:highlight w:val="white"/>
        </w:rPr>
        <w:t xml:space="preserve">Місто Каховка має 2 стадіони: «Авангард» (ПрАТ КЗЕСО) та </w:t>
      </w:r>
      <w:r>
        <w:rPr>
          <w:rFonts w:cs="Times New Roman" w:ascii="Times New Roman" w:hAnsi="Times New Roman"/>
          <w:sz w:val="24"/>
          <w:szCs w:val="24"/>
          <w:highlight w:val="white"/>
        </w:rPr>
        <w:t>спортивний комбінат</w:t>
      </w:r>
      <w:r>
        <w:rPr>
          <w:rFonts w:ascii="Times New Roman" w:hAnsi="Times New Roman"/>
          <w:sz w:val="24"/>
          <w:szCs w:val="24"/>
          <w:highlight w:val="white"/>
        </w:rPr>
        <w:t xml:space="preserve"> «Олімпійський» (з футбольним полем та легкоатлетичним ядром). Головною спортивною спорудою Каховської ТГ є с/к «Олімпійський» на якому проходять футбольні матчі, спортивно-масові заходи та змагання.</w:t>
      </w:r>
    </w:p>
    <w:p>
      <w:pPr>
        <w:pStyle w:val="Normal"/>
        <w:spacing w:lineRule="auto" w:line="240" w:before="0" w:after="0"/>
        <w:ind w:firstLine="709"/>
        <w:jc w:val="both"/>
        <w:rPr>
          <w:rFonts w:ascii="Times New Roman" w:hAnsi="Times New Roman" w:eastAsia="Arial" w:cs="Times New Roman"/>
          <w:color w:val="1A1A1A"/>
          <w:sz w:val="24"/>
          <w:szCs w:val="24"/>
        </w:rPr>
      </w:pPr>
      <w:r>
        <w:rPr>
          <w:rFonts w:eastAsia="Arial" w:cs="Times New Roman" w:ascii="Times New Roman" w:hAnsi="Times New Roman"/>
          <w:color w:val="1A1A1A"/>
          <w:sz w:val="24"/>
          <w:szCs w:val="24"/>
          <w:highlight w:val="white"/>
          <w:lang w:eastAsia="uk-UA"/>
        </w:rPr>
        <w:t xml:space="preserve">Проблемні питання: </w:t>
      </w:r>
      <w:r>
        <w:rPr>
          <w:rFonts w:eastAsia="Arial" w:cs="Times New Roman" w:ascii="Times New Roman" w:hAnsi="Times New Roman"/>
          <w:color w:val="1A1A1A"/>
          <w:sz w:val="24"/>
          <w:szCs w:val="24"/>
          <w:highlight w:val="white"/>
        </w:rPr>
        <w:t>відсутність достатньої кількості сучасних доступних спортивних споруд (особливо у сільській місцевості), приведення с/к «Олімпійський» до сучасних вимог та стандартів (потребує реконструкції), брак кваліфікованих фахівців фізкультурно-спортивної галузі, тренерів та спортсменів. Г</w:t>
      </w:r>
      <w:r>
        <w:rPr>
          <w:rFonts w:eastAsia="Arial" w:cs="Times New Roman" w:ascii="Times New Roman" w:hAnsi="Times New Roman"/>
          <w:color w:val="1A1A1A"/>
          <w:sz w:val="24"/>
          <w:szCs w:val="24"/>
        </w:rPr>
        <w:t>ромада потребує розширення мережі спортивної інфраструктури, наближеної до скупченого місця проживання дітей, молоді та активного населення.</w:t>
      </w:r>
    </w:p>
    <w:p>
      <w:pPr>
        <w:pStyle w:val="Normal"/>
        <w:spacing w:lineRule="auto" w:line="240" w:before="120" w:after="0"/>
        <w:ind w:firstLine="709"/>
        <w:jc w:val="both"/>
        <w:rPr>
          <w:rFonts w:ascii="Times New Roman" w:hAnsi="Times New Roman"/>
          <w:sz w:val="24"/>
          <w:szCs w:val="24"/>
        </w:rPr>
      </w:pPr>
      <w:r>
        <w:rPr>
          <w:rFonts w:ascii="Times New Roman" w:hAnsi="Times New Roman"/>
          <w:b/>
          <w:bCs/>
          <w:sz w:val="24"/>
          <w:szCs w:val="24"/>
        </w:rPr>
        <w:t>Адміністративні послуги</w:t>
      </w:r>
      <w:r>
        <w:rPr>
          <w:rFonts w:ascii="Times New Roman" w:hAnsi="Times New Roman"/>
          <w:sz w:val="24"/>
          <w:szCs w:val="24"/>
        </w:rPr>
        <w:t xml:space="preserve"> надаються в Центрі надання адміністративних послуг Каховської міської ради. На початок 2021, кількість послуг які надаються через Центр - 144. У зв’язку із збільшенням кількості населення, планується розширення приміщення Центру та збільшення кількості адміністраторів. За результатами участі ЦНАП у проекті «Підтримка електронного урядування для децентралізації в Україні (EGOV4UKRAINE)» в рамках  програми «U-LEAD з Європою» в Центрі впроваджена інформаційна система «Вулик», яка значно підвищила доступність та якість адміністративних послуг. </w:t>
      </w:r>
    </w:p>
    <w:p>
      <w:pPr>
        <w:pStyle w:val="Normal"/>
        <w:spacing w:lineRule="auto" w:line="240" w:before="120" w:after="0"/>
        <w:ind w:firstLine="709"/>
        <w:jc w:val="both"/>
        <w:rPr>
          <w:rFonts w:ascii="Times New Roman" w:hAnsi="Times New Roman"/>
          <w:sz w:val="24"/>
          <w:szCs w:val="24"/>
        </w:rPr>
      </w:pPr>
      <w:r>
        <w:rPr>
          <w:rFonts w:ascii="Times New Roman" w:hAnsi="Times New Roman"/>
          <w:b/>
          <w:bCs/>
          <w:sz w:val="24"/>
          <w:szCs w:val="24"/>
        </w:rPr>
        <w:t>Стан діджиталізації</w:t>
      </w:r>
      <w:r>
        <w:rPr>
          <w:rFonts w:ascii="Times New Roman" w:hAnsi="Times New Roman"/>
          <w:sz w:val="24"/>
          <w:szCs w:val="24"/>
        </w:rPr>
        <w:t xml:space="preserve"> Каховської громади знаходиться на задовільному рівні. Якісний доступ до мережі Інтернет забезпечено в усіх населених пунктах громади, крім села Чорноморівка. Діловодство громади потребує впровадження електронного документообігу. </w:t>
      </w:r>
    </w:p>
    <w:p>
      <w:pPr>
        <w:pStyle w:val="Normal"/>
        <w:tabs>
          <w:tab w:val="left" w:pos="284" w:leader="none"/>
        </w:tabs>
        <w:spacing w:lineRule="auto" w:line="240" w:before="0" w:after="0"/>
        <w:jc w:val="both"/>
        <w:rPr>
          <w:color w:val="00000A"/>
        </w:rPr>
      </w:pPr>
      <w:r>
        <w:rPr>
          <w:rFonts w:cs="Times New Roman" w:ascii="Times New Roman" w:hAnsi="Times New Roman"/>
          <w:color w:val="000000" w:themeColor="text1"/>
          <w:sz w:val="24"/>
          <w:szCs w:val="24"/>
        </w:rPr>
        <w:tab/>
        <w:tab/>
        <w:t>В онлайн режимі надають послуги: у</w:t>
      </w:r>
      <w:r>
        <w:rPr>
          <w:rFonts w:cs="Times New Roman" w:ascii="Times New Roman" w:hAnsi="Times New Roman"/>
          <w:color w:val="1A1A1A" w:themeColor="background1" w:themeShade="1a"/>
          <w:sz w:val="24"/>
          <w:szCs w:val="24"/>
        </w:rPr>
        <w:t>правління праці та соціального захисту населення Каховської міської ради, Каховський міськрайонний центр зайнятості, Каховський відділ обслуговування громадян (сервісного центру) Головного управління Пенсійного фонду України в Херсонській області.</w:t>
      </w:r>
    </w:p>
    <w:p>
      <w:pPr>
        <w:pStyle w:val="Normal"/>
        <w:tabs>
          <w:tab w:val="left" w:pos="284" w:leader="none"/>
        </w:tabs>
        <w:spacing w:lineRule="auto" w:line="240" w:before="0" w:after="0"/>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ab/>
        <w:tab/>
        <w:t>Серед нагальних завдань – суттєве покращення комп’ютерної грамотності населення, особливо для людей поважного віку. Також Каховська громада бере активну участь у зборі інформації для створення та наповнення геоінформаційної системи Херсонської області.</w:t>
      </w:r>
    </w:p>
    <w:p>
      <w:pPr>
        <w:pStyle w:val="Normal"/>
        <w:spacing w:lineRule="auto" w:line="240" w:before="120" w:after="0"/>
        <w:ind w:firstLine="709"/>
        <w:jc w:val="both"/>
        <w:rPr>
          <w:rFonts w:ascii="Times New Roman" w:hAnsi="Times New Roman" w:cs="Times New Roman"/>
          <w:color w:val="1A1A1A" w:themeColor="background1" w:themeShade="1a"/>
          <w:sz w:val="24"/>
          <w:szCs w:val="24"/>
        </w:rPr>
      </w:pPr>
      <w:r>
        <w:rPr>
          <w:rFonts w:cs="Times New Roman" w:ascii="Times New Roman" w:hAnsi="Times New Roman"/>
          <w:color w:val="1A1A1A" w:themeColor="background1" w:themeShade="1a"/>
          <w:sz w:val="24"/>
          <w:szCs w:val="24"/>
        </w:rPr>
      </w:r>
    </w:p>
    <w:p>
      <w:pPr>
        <w:pStyle w:val="2"/>
        <w:spacing w:before="0" w:after="0"/>
        <w:ind w:left="284" w:hanging="0"/>
        <w:rPr>
          <w:rFonts w:ascii="Times New Roman" w:hAnsi="Times New Roman" w:cs="Times New Roman"/>
          <w:szCs w:val="24"/>
        </w:rPr>
      </w:pPr>
      <w:bookmarkStart w:id="39" w:name="_Toc84967171"/>
      <w:bookmarkStart w:id="40" w:name="_Hlk655877671"/>
      <w:bookmarkEnd w:id="39"/>
      <w:bookmarkEnd w:id="40"/>
      <w:r>
        <w:rPr>
          <w:rFonts w:cs="Times New Roman" w:ascii="Times New Roman" w:hAnsi="Times New Roman"/>
          <w:szCs w:val="24"/>
        </w:rPr>
        <w:t>1.3. Наявна інфраструктура Каховської громади</w:t>
      </w:r>
    </w:p>
    <w:p>
      <w:pPr>
        <w:pStyle w:val="Normal"/>
        <w:spacing w:lineRule="auto" w:line="240" w:before="120" w:after="0"/>
        <w:ind w:firstLine="709"/>
        <w:jc w:val="both"/>
        <w:rPr>
          <w:rFonts w:ascii="Times New Roman" w:hAnsi="Times New Roman" w:cs="Times New Roman"/>
          <w:color w:val="1A1A1A" w:themeColor="background1" w:themeShade="1a"/>
          <w:sz w:val="24"/>
          <w:szCs w:val="24"/>
        </w:rPr>
      </w:pPr>
      <w:r>
        <w:rPr>
          <w:rFonts w:cs="Times New Roman" w:ascii="Times New Roman" w:hAnsi="Times New Roman"/>
          <w:color w:val="1A1A1A" w:themeColor="background1" w:themeShade="1a"/>
          <w:sz w:val="24"/>
          <w:szCs w:val="24"/>
        </w:rPr>
        <w:t xml:space="preserve">У цілому по громаді </w:t>
      </w:r>
      <w:r>
        <w:rPr>
          <w:rFonts w:cs="Times New Roman" w:ascii="Times New Roman" w:hAnsi="Times New Roman"/>
          <w:b/>
          <w:bCs/>
          <w:color w:val="1A1A1A" w:themeColor="background1" w:themeShade="1a"/>
          <w:sz w:val="24"/>
          <w:szCs w:val="24"/>
        </w:rPr>
        <w:t>мережа доріг</w:t>
      </w:r>
      <w:r>
        <w:rPr>
          <w:rFonts w:cs="Times New Roman" w:ascii="Times New Roman" w:hAnsi="Times New Roman"/>
          <w:color w:val="1A1A1A" w:themeColor="background1" w:themeShade="1a"/>
          <w:sz w:val="24"/>
          <w:szCs w:val="24"/>
        </w:rPr>
        <w:t xml:space="preserve"> загального користування забезпечує транспортне сполучення між населеними пунктами. Всі населені пункти забезпечені під’їздами з твердим покриттям. Транспортне сполучення забезпечує доступність до районних та обласних центрів. </w:t>
      </w:r>
    </w:p>
    <w:p>
      <w:pPr>
        <w:pStyle w:val="Normal"/>
        <w:spacing w:lineRule="auto" w:line="240" w:before="0" w:after="0"/>
        <w:ind w:firstLine="709"/>
        <w:jc w:val="both"/>
        <w:rPr>
          <w:rFonts w:ascii="Times New Roman" w:hAnsi="Times New Roman" w:cs="Times New Roman"/>
          <w:color w:val="1A1A1A" w:themeColor="background1" w:themeShade="1a"/>
          <w:sz w:val="24"/>
          <w:szCs w:val="24"/>
        </w:rPr>
      </w:pPr>
      <w:r>
        <w:rPr>
          <w:rFonts w:cs="Times New Roman" w:ascii="Times New Roman" w:hAnsi="Times New Roman"/>
          <w:color w:val="1A1A1A" w:themeColor="background1" w:themeShade="1a"/>
          <w:sz w:val="24"/>
          <w:szCs w:val="24"/>
        </w:rPr>
        <w:t xml:space="preserve">Територію громади перетинають автомобільні дороги, з яких декілька головних: Автомобільний шлях державно регіонального значення Р-47 Херсон - Нова Каховка - Генічеськ та автомобільний шлях М-14 міжнародного значення Одеса – Мелітополь - Новоазовськ. Стан доріг в межах ТГ - задовільний. </w:t>
      </w:r>
    </w:p>
    <w:p>
      <w:pPr>
        <w:pStyle w:val="Normal"/>
        <w:spacing w:lineRule="auto" w:line="240" w:before="0" w:after="0"/>
        <w:ind w:firstLine="709"/>
        <w:jc w:val="both"/>
        <w:rPr>
          <w:rFonts w:ascii="Times New Roman" w:hAnsi="Times New Roman" w:cs="Times New Roman"/>
          <w:color w:val="1A1A1A" w:themeColor="background1" w:themeShade="1a"/>
          <w:sz w:val="24"/>
          <w:szCs w:val="24"/>
        </w:rPr>
      </w:pPr>
      <w:r>
        <w:rPr>
          <w:rFonts w:cs="Times New Roman" w:ascii="Times New Roman" w:hAnsi="Times New Roman"/>
          <w:color w:val="1A1A1A" w:themeColor="background1" w:themeShade="1a"/>
          <w:sz w:val="24"/>
          <w:szCs w:val="24"/>
        </w:rPr>
        <w:t>Одним з найважливіших питань Каховської громади є стан дорожнього покриття, який як в межах населених пунктів, так і поза ними, знаходиться в незадовільному стані. Мережа автомобільних доріг потребує капітального ремонту, а подекуди і повної заміни дорожнього покриття. Щороку проводиться ямковий ремонт доріг, але ці заходи не можуть в повній мірі вирішити проблему.</w:t>
      </w:r>
    </w:p>
    <w:p>
      <w:pPr>
        <w:pStyle w:val="Normal"/>
        <w:spacing w:lineRule="auto" w:line="240" w:before="120" w:after="0"/>
        <w:ind w:firstLine="709"/>
        <w:jc w:val="both"/>
        <w:rPr>
          <w:rFonts w:ascii="Times New Roman" w:hAnsi="Times New Roman" w:cs="Times New Roman"/>
          <w:color w:val="1A1A1A" w:themeColor="background1" w:themeShade="1a"/>
          <w:sz w:val="24"/>
          <w:szCs w:val="24"/>
        </w:rPr>
      </w:pPr>
      <w:r>
        <w:rPr>
          <w:rFonts w:cs="Times New Roman" w:ascii="Times New Roman" w:hAnsi="Times New Roman"/>
          <w:b/>
          <w:bCs/>
          <w:color w:val="1A1A1A" w:themeColor="background1" w:themeShade="1a"/>
          <w:sz w:val="24"/>
          <w:szCs w:val="24"/>
        </w:rPr>
        <w:t>Перевезення пасажирів</w:t>
      </w:r>
      <w:r>
        <w:rPr>
          <w:rFonts w:cs="Times New Roman" w:ascii="Times New Roman" w:hAnsi="Times New Roman"/>
          <w:color w:val="1A1A1A" w:themeColor="background1" w:themeShade="1a"/>
          <w:sz w:val="24"/>
          <w:szCs w:val="24"/>
        </w:rPr>
        <w:t xml:space="preserve"> здійснюється за транспортними маршрутами як європейського, так і регіонального значення. Сполучення з обласним центром та іншими районними центрами здійснюється приватними перевізниками. На території громади розміщена автостанція, налагоджені внутрішньопасажирські перевезення між населеними пунктами громади та іншими селами сусідніх громад Каховського району. </w:t>
      </w:r>
    </w:p>
    <w:p>
      <w:pPr>
        <w:pStyle w:val="Normal"/>
        <w:spacing w:lineRule="auto" w:line="240" w:before="120" w:after="0"/>
        <w:ind w:firstLine="709"/>
        <w:jc w:val="both"/>
        <w:rPr>
          <w:rFonts w:ascii="Times New Roman" w:hAnsi="Times New Roman" w:eastAsia="Times New Roman" w:cs="Times New Roman"/>
          <w:sz w:val="24"/>
          <w:szCs w:val="24"/>
          <w:lang w:eastAsia="uk-UA"/>
        </w:rPr>
      </w:pPr>
      <w:r>
        <w:rPr>
          <w:rFonts w:eastAsia="Arial" w:cs="Times New Roman" w:ascii="Times New Roman" w:hAnsi="Times New Roman"/>
          <w:b/>
          <w:bCs/>
          <w:color w:val="000000"/>
          <w:sz w:val="24"/>
          <w:szCs w:val="24"/>
        </w:rPr>
        <w:t xml:space="preserve">Водопостачання та водовідведення </w:t>
      </w:r>
      <w:r>
        <w:rPr>
          <w:rFonts w:eastAsia="Arial" w:cs="Times New Roman" w:ascii="Times New Roman" w:hAnsi="Times New Roman"/>
          <w:color w:val="000000"/>
          <w:sz w:val="24"/>
          <w:szCs w:val="24"/>
        </w:rPr>
        <w:t>в громаді забезпечує Комунальне виробниче управління „Каховський водоканал”</w:t>
      </w:r>
      <w:r>
        <w:rPr>
          <w:rFonts w:eastAsia="Times New Roman" w:cs="Times New Roman" w:ascii="Times New Roman" w:hAnsi="Times New Roman"/>
          <w:sz w:val="24"/>
          <w:szCs w:val="24"/>
          <w:lang w:eastAsia="uk-UA"/>
        </w:rPr>
        <w:t>. Загальна протяжність водогонів громади становить 126,4 км, мереж водовідведення – 60,9 км. Джерело водопостачання для господарсько-питних та промислово-технічних потреб міста - підземні води артезіанських свердловин Каховського родовища підземних вод, які є основним водозабором міста. Охоплення населення централізованим водопостачанням по м. Каховка становить 100%. Крім централізованого водопостачання, в місті існують локальні системи водопостачання промислових підприємств. Загалом комунальний водопровід обслуговує населення міста, комунальні та окремі промислові підприємства, а також смт Любимівка і с. Мала Каховка. Для потреб міста функціонує водозабір з 19 артезіанських свердловин (з дебітом від 4 до 250 м3/год). Згідно даних КВУ «Каховський водоканал» виробнича потужність комунального водопроводу 36,60 тис. м3/добу. На даному етапі зношеність мереж та обладнання становить 26 - 40%, в наслідок чого втрати вод в мережі досягають 33,5%. Більшість водогонів побудовані в середині минулого століття і експлуатуються без належного капітального ремонту та реконструкції. Артезіанські свердловини також потребують реконструкції та ремонту.</w:t>
      </w:r>
    </w:p>
    <w:p>
      <w:pPr>
        <w:pStyle w:val="Normal"/>
        <w:spacing w:lineRule="auto" w:line="240" w:before="0" w:after="0"/>
        <w:ind w:firstLine="709"/>
        <w:jc w:val="both"/>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Питна вода в місті відповідає вимогам ДСанПіН 2.2.4-171-10 «Гігієнічні вимоги до води питної, призначеної для споживання людиною».</w:t>
      </w:r>
    </w:p>
    <w:p>
      <w:pPr>
        <w:pStyle w:val="Normal"/>
        <w:spacing w:lineRule="auto" w:line="240" w:before="120" w:after="0"/>
        <w:ind w:firstLine="709"/>
        <w:jc w:val="both"/>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В селах питання з водопостачання вирішується шляхом подачі води через водонапірні вежі зі свердловин.</w:t>
      </w:r>
      <w:r>
        <w:rPr/>
        <w:t xml:space="preserve"> </w:t>
      </w:r>
      <w:r>
        <w:rPr>
          <w:rFonts w:eastAsia="Times New Roman" w:cs="Times New Roman" w:ascii="Times New Roman" w:hAnsi="Times New Roman"/>
          <w:sz w:val="24"/>
          <w:szCs w:val="24"/>
          <w:lang w:eastAsia="uk-UA"/>
        </w:rPr>
        <w:t>Централізоване водопостачання в наявності в усіх селах, крім с.Чорноморівка. Близько 50% мереж водопостачання потребують заміни. Якість питної води не відповідає нормам.</w:t>
      </w:r>
    </w:p>
    <w:p>
      <w:pPr>
        <w:pStyle w:val="Normal"/>
        <w:spacing w:lineRule="auto" w:line="240" w:before="120" w:after="0"/>
        <w:ind w:firstLine="709"/>
        <w:jc w:val="both"/>
        <w:rPr>
          <w:rFonts w:ascii="Times New Roman" w:hAnsi="Times New Roman" w:eastAsia="Times New Roman" w:cs="Times New Roman"/>
          <w:sz w:val="24"/>
          <w:szCs w:val="24"/>
          <w:lang w:eastAsia="uk-UA"/>
        </w:rPr>
      </w:pPr>
      <w:r>
        <w:rPr>
          <w:rFonts w:eastAsia="Times New Roman" w:cs="Times New Roman" w:ascii="Times New Roman" w:hAnsi="Times New Roman"/>
          <w:b/>
          <w:bCs/>
          <w:sz w:val="24"/>
          <w:szCs w:val="24"/>
          <w:lang w:eastAsia="uk-UA"/>
        </w:rPr>
        <w:t>Відведення стічних вод</w:t>
      </w:r>
      <w:r>
        <w:rPr>
          <w:rFonts w:eastAsia="Times New Roman" w:cs="Times New Roman" w:ascii="Times New Roman" w:hAnsi="Times New Roman"/>
          <w:sz w:val="24"/>
          <w:szCs w:val="24"/>
          <w:lang w:eastAsia="uk-UA"/>
        </w:rPr>
        <w:t xml:space="preserve"> забезпечує система централізованої каналізації, якою охоплено 56% населення; частково не каналізована садибна забудова. Рідкі побутові відходи садибної забудови вивозяться автотранспортом і знезаражуються на міських КОС. У каналізацію скидаються стоки підприємств, які не мають локальних систем каналізації та дозволів на скидання зворотних вод у водний об’єкт. Водовідведення каналізаційних вод здійснюють сім КНС, очищення відбувається на очисних спорудах (площа 9.95 га, розташовані в південній частині вздовж вул. Чаплинське шосе), добова потужність яких становить 16,2 тис. м3 (фактично поступає менше половини). КОС працюють з 1971 року і мають амортизаційний знос 92%. Санітарно-захисна зона - 400м, витримана.</w:t>
      </w:r>
    </w:p>
    <w:p>
      <w:pPr>
        <w:pStyle w:val="Normal"/>
        <w:spacing w:lineRule="auto" w:line="240" w:before="0" w:after="0"/>
        <w:ind w:firstLine="709"/>
        <w:jc w:val="both"/>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За десятки років експлуатації колекторів та КНС обладнання практично не змінювалось, споруди капітально не ремонтувались. Також потребують реконструкції (з впровадженням новітніх хіміко-біологічних технологій очищення стічних вод) і очисні споруди, які збудовані у 1968- 1971 роках (зношеність 84%). На даному етапі система водовідведення забезпечує пропуск та очищення (знезараження гіпохлоритом натрію) каналізаційних стоків міста, загальні показники яких в 2019 році становили, річний та середньодобовий обсяг відповідно: 2 288,0 тис. м3/рік та 6,3 тис. м3/добу (весь об’єм з повним біологічним очищенням). Очищені стічні води, після повного біологічного очищення на КОС, скидаються в Каховське море по напірному трубопроводу довжиною 8.0 км. На дільниці очисних споруд є акредитована лабораторія, яка регулярно здійснює контроль якості очищених зворотних вод. Проби стічних вод відповідають вимогам ГДК скидів у поверхневі води.</w:t>
      </w:r>
    </w:p>
    <w:p>
      <w:pPr>
        <w:pStyle w:val="Normal"/>
        <w:spacing w:lineRule="auto" w:line="240" w:before="120" w:after="0"/>
        <w:ind w:firstLine="709"/>
        <w:jc w:val="both"/>
        <w:rPr>
          <w:rFonts w:ascii="Times New Roman" w:hAnsi="Times New Roman" w:eastAsia="Arial" w:cs="Times New Roman"/>
          <w:color w:val="0D0D0D"/>
          <w:sz w:val="24"/>
          <w:szCs w:val="24"/>
        </w:rPr>
      </w:pPr>
      <w:bookmarkStart w:id="41" w:name="_Toc436423060"/>
      <w:bookmarkStart w:id="42" w:name="_Toc445403192"/>
      <w:bookmarkEnd w:id="41"/>
      <w:bookmarkEnd w:id="42"/>
      <w:r>
        <w:rPr>
          <w:rFonts w:eastAsia="Arial" w:cs="Times New Roman" w:ascii="Times New Roman" w:hAnsi="Times New Roman"/>
          <w:color w:val="0D0D0D"/>
          <w:sz w:val="24"/>
          <w:szCs w:val="24"/>
        </w:rPr>
        <w:t xml:space="preserve">Послуги з </w:t>
      </w:r>
      <w:r>
        <w:rPr>
          <w:rFonts w:eastAsia="Arial" w:cs="Times New Roman" w:ascii="Times New Roman" w:hAnsi="Times New Roman"/>
          <w:b/>
          <w:bCs/>
          <w:color w:val="0D0D0D"/>
          <w:sz w:val="24"/>
          <w:szCs w:val="24"/>
        </w:rPr>
        <w:t>благоустрою</w:t>
      </w:r>
      <w:r>
        <w:rPr>
          <w:rFonts w:eastAsia="Arial" w:cs="Times New Roman" w:ascii="Times New Roman" w:hAnsi="Times New Roman"/>
          <w:color w:val="0D0D0D"/>
          <w:sz w:val="24"/>
          <w:szCs w:val="24"/>
        </w:rPr>
        <w:t xml:space="preserve"> населених пунктів у Каховській територіальній громаді, а також  санітарне утримання територій, організацію озеленення, створення місць відпочинку громадян, та ритуальні послуги надає Комунальне підприємство “Комунальне транспортне підприємство”. В усіх сільських населених пунктах є необхідність в реконструкції та будівництві вуличного освітлення. Сільські комунальні підприємства не забезпечені або не в повному обсязі забезпечені спеціальною технікою. </w:t>
      </w:r>
    </w:p>
    <w:p>
      <w:pPr>
        <w:pStyle w:val="Normal"/>
        <w:spacing w:lineRule="auto" w:line="240" w:before="120" w:after="0"/>
        <w:ind w:firstLine="708"/>
        <w:jc w:val="both"/>
        <w:rPr>
          <w:rFonts w:ascii="Times New Roman" w:hAnsi="Times New Roman" w:cs="Times New Roman"/>
          <w:sz w:val="24"/>
          <w:szCs w:val="24"/>
        </w:rPr>
      </w:pPr>
      <w:r>
        <w:rPr>
          <w:rFonts w:cs="Times New Roman" w:ascii="Times New Roman" w:hAnsi="Times New Roman"/>
          <w:b/>
          <w:bCs/>
          <w:sz w:val="24"/>
          <w:szCs w:val="24"/>
        </w:rPr>
        <w:t>Безпека</w:t>
      </w:r>
      <w:r>
        <w:rPr>
          <w:rFonts w:cs="Times New Roman" w:ascii="Times New Roman" w:hAnsi="Times New Roman"/>
          <w:sz w:val="24"/>
          <w:szCs w:val="24"/>
        </w:rPr>
        <w:t>. Кількість правопорушень на 1 тис. мешканців станом на 2020 рік склала 122.8 випадків. Для подальшого безпечного розвитку громади в співпраці з поліцією зроблено перший крок -  створено систему відеоспостереження в м. Каховка.</w:t>
      </w:r>
    </w:p>
    <w:p>
      <w:pPr>
        <w:pStyle w:val="2"/>
        <w:spacing w:before="120" w:after="0"/>
        <w:ind w:left="0" w:hanging="0"/>
        <w:rPr>
          <w:rFonts w:ascii="Times New Roman" w:hAnsi="Times New Roman" w:cs="Times New Roman"/>
          <w:color w:val="1A1A1A" w:themeColor="background1" w:themeShade="1a"/>
          <w:szCs w:val="24"/>
        </w:rPr>
      </w:pPr>
      <w:bookmarkStart w:id="43" w:name="_Toc84967172"/>
      <w:bookmarkStart w:id="44" w:name="_Toc360245"/>
      <w:r>
        <w:rPr>
          <w:rFonts w:cs="Times New Roman" w:ascii="Times New Roman" w:hAnsi="Times New Roman"/>
          <w:color w:val="1A1A1A" w:themeColor="background1" w:themeShade="1a"/>
          <w:szCs w:val="24"/>
        </w:rPr>
        <w:t>1.4. Економіка</w:t>
      </w:r>
      <w:bookmarkStart w:id="45" w:name="_Hlk23884009"/>
      <w:bookmarkEnd w:id="43"/>
      <w:bookmarkEnd w:id="44"/>
      <w:bookmarkEnd w:id="45"/>
      <w:r>
        <w:rPr>
          <w:rFonts w:cs="Times New Roman" w:ascii="Times New Roman" w:hAnsi="Times New Roman"/>
          <w:color w:val="1A1A1A" w:themeColor="background1" w:themeShade="1a"/>
          <w:szCs w:val="24"/>
        </w:rPr>
        <w:t xml:space="preserve"> і фінанси</w:t>
      </w:r>
    </w:p>
    <w:p>
      <w:pPr>
        <w:pStyle w:val="Normal"/>
        <w:spacing w:lineRule="auto" w:line="240" w:before="120" w:after="0"/>
        <w:ind w:firstLine="709"/>
        <w:jc w:val="both"/>
        <w:rPr>
          <w:highlight w:val="white"/>
        </w:rPr>
      </w:pPr>
      <w:r>
        <w:rPr>
          <w:rFonts w:cs="Times New Roman" w:ascii="Times New Roman" w:hAnsi="Times New Roman"/>
          <w:color w:val="1A1A1A" w:themeColor="background1" w:themeShade="1a"/>
          <w:sz w:val="24"/>
          <w:szCs w:val="24"/>
          <w:highlight w:val="white"/>
        </w:rPr>
        <w:t xml:space="preserve">Станом на початок 2021 року у Каховській територіальній громаді зареєстровано 909 підприємств-юридичних осіб та 2204 фізичних осіб-підприємців. Громада має суттєвий промисловий потенціал та сприятливі умови для розвитку ефективного сільського господарства. Найбільші роботодавці належать до секторів промисловості та оптової торгівлі аграрною продукцією. Першу сходинку займає один з національних лідерів харчової промисловості ПрАТ “Чумак” (понад 1 тис. працівників), </w:t>
      </w:r>
      <w:r>
        <w:rPr>
          <w:rFonts w:cs="Times New Roman" w:ascii="Times New Roman" w:hAnsi="Times New Roman"/>
          <w:color w:val="1A1A1A"/>
          <w:sz w:val="24"/>
          <w:szCs w:val="24"/>
          <w:shd w:fill="FFFFFF" w:val="clear"/>
        </w:rPr>
        <w:t xml:space="preserve">Каховська філія ЗАТ «АТ Каргілл», ТОВ «Терра Тарса Україна». </w:t>
      </w:r>
      <w:r>
        <w:rPr>
          <w:rFonts w:cs="Times New Roman" w:ascii="Times New Roman" w:hAnsi="Times New Roman"/>
          <w:color w:val="1A1A1A" w:themeColor="background1" w:themeShade="1a"/>
          <w:sz w:val="24"/>
          <w:szCs w:val="24"/>
          <w:highlight w:val="white"/>
        </w:rPr>
        <w:t xml:space="preserve"> Сучасні проблеми є типовими для багатьох територіальних громад України – недостатня інвестиційна та туристична привабливість, пасивність населення. </w:t>
      </w:r>
    </w:p>
    <w:p>
      <w:pPr>
        <w:pStyle w:val="Normal"/>
        <w:spacing w:lineRule="auto" w:line="240" w:before="120" w:after="0"/>
        <w:ind w:firstLine="709"/>
        <w:jc w:val="both"/>
        <w:rPr>
          <w:rFonts w:ascii="Times New Roman" w:hAnsi="Times New Roman" w:cs="Times New Roman"/>
          <w:color w:val="1A1A1A" w:themeColor="background1" w:themeShade="1a"/>
          <w:sz w:val="24"/>
          <w:szCs w:val="24"/>
        </w:rPr>
      </w:pPr>
      <w:r>
        <w:rPr>
          <w:rFonts w:cs="Times New Roman" w:ascii="Times New Roman" w:hAnsi="Times New Roman"/>
          <w:color w:val="1A1A1A" w:themeColor="background1" w:themeShade="1a"/>
          <w:sz w:val="24"/>
          <w:szCs w:val="24"/>
          <w:highlight w:val="white"/>
        </w:rPr>
        <w:t>Водночас, Каховська громада має значний інвестиційний потенціал, обумовлений географічним розташуванням, логістичними перевагами, наявністю кваліфікованої робочої сили та  вільних земельних ділянок, привабливих для створення нових підприємств.</w:t>
      </w:r>
    </w:p>
    <w:p>
      <w:pPr>
        <w:pStyle w:val="Normal"/>
        <w:spacing w:lineRule="auto" w:line="240" w:before="120" w:after="0"/>
        <w:ind w:firstLine="709"/>
        <w:jc w:val="both"/>
        <w:rPr>
          <w:rFonts w:ascii="Times New Roman" w:hAnsi="Times New Roman" w:cs="Times New Roman"/>
          <w:color w:val="1A1A1A" w:themeColor="background1" w:themeShade="1a"/>
          <w:sz w:val="24"/>
          <w:szCs w:val="24"/>
        </w:rPr>
      </w:pPr>
      <w:r>
        <w:rPr>
          <w:rFonts w:cs="Times New Roman" w:ascii="Times New Roman" w:hAnsi="Times New Roman"/>
          <w:b/>
          <w:bCs/>
          <w:color w:val="1A1A1A" w:themeColor="background1" w:themeShade="1a"/>
          <w:sz w:val="24"/>
          <w:szCs w:val="24"/>
          <w:highlight w:val="white"/>
        </w:rPr>
        <w:t>Туристична інфраструктура</w:t>
      </w:r>
      <w:r>
        <w:rPr>
          <w:rFonts w:cs="Times New Roman" w:ascii="Times New Roman" w:hAnsi="Times New Roman"/>
          <w:color w:val="1A1A1A" w:themeColor="background1" w:themeShade="1a"/>
          <w:sz w:val="24"/>
          <w:szCs w:val="24"/>
          <w:highlight w:val="white"/>
        </w:rPr>
        <w:t xml:space="preserve">. Вигідне географічне розташування міста Каховки дає змогу організовувати та проводити відкриті фестивалі різного спрямування та інші масштабні заходи обласного, регіонального, Всеукраїнського та Міжнародного рівнів. </w:t>
      </w:r>
    </w:p>
    <w:p>
      <w:pPr>
        <w:pStyle w:val="Normal"/>
        <w:spacing w:lineRule="auto" w:line="240" w:before="0" w:after="0"/>
        <w:ind w:firstLine="709"/>
        <w:jc w:val="both"/>
        <w:rPr>
          <w:highlight w:val="white"/>
        </w:rPr>
      </w:pPr>
      <w:r>
        <w:rPr>
          <w:rFonts w:cs="Times New Roman" w:ascii="Times New Roman" w:hAnsi="Times New Roman"/>
          <w:color w:val="1A1A1A" w:themeColor="background1" w:themeShade="1a"/>
          <w:sz w:val="24"/>
          <w:szCs w:val="24"/>
          <w:highlight w:val="white"/>
        </w:rPr>
        <w:t xml:space="preserve">Каховка відома як столиця міжнародного музичного фестивалю "Таврійські Ігри" - найвідомішого свята музики на теренах України. Сьогодні на зміну прийшов міжнародний мотофестиваль "Тачанка". В Каховці організовуються регіональні фестивалі-конкурси хореографічного мистецтва серед яких: відкритий конкурс ім. Т.Ерліх "Весняний розмай", фестиваль-конкурс хореографічних творів "Верховинця степова криниця", Відкритий конкурс молодих виконавців "Каховка запрошує...". </w:t>
      </w:r>
    </w:p>
    <w:p>
      <w:pPr>
        <w:pStyle w:val="Normal"/>
        <w:spacing w:lineRule="auto" w:line="240" w:before="0" w:after="0"/>
        <w:ind w:firstLine="709"/>
        <w:jc w:val="both"/>
        <w:rPr>
          <w:rFonts w:ascii="Times New Roman" w:hAnsi="Times New Roman" w:cs="Times New Roman"/>
          <w:color w:val="1A1A1A" w:themeColor="background1" w:themeShade="1a"/>
          <w:sz w:val="24"/>
          <w:szCs w:val="24"/>
        </w:rPr>
      </w:pPr>
      <w:r>
        <w:rPr>
          <w:rFonts w:cs="Times New Roman" w:ascii="Times New Roman" w:hAnsi="Times New Roman"/>
          <w:color w:val="1A1A1A" w:themeColor="background1" w:themeShade="1a"/>
          <w:sz w:val="24"/>
          <w:szCs w:val="24"/>
          <w:highlight w:val="white"/>
        </w:rPr>
        <w:t>Для гостей у місті працює готель «Приват».</w:t>
      </w:r>
    </w:p>
    <w:p>
      <w:pPr>
        <w:pStyle w:val="Normal"/>
        <w:spacing w:lineRule="auto" w:line="240" w:before="120" w:after="0"/>
        <w:ind w:firstLine="709"/>
        <w:jc w:val="both"/>
        <w:rPr>
          <w:rFonts w:ascii="Times New Roman" w:hAnsi="Times New Roman" w:cs="Times New Roman"/>
          <w:color w:val="1A1A1A" w:themeColor="background1" w:themeShade="1a"/>
          <w:sz w:val="24"/>
          <w:szCs w:val="24"/>
        </w:rPr>
      </w:pPr>
      <w:r>
        <w:rPr>
          <w:rFonts w:cs="Times New Roman" w:ascii="Times New Roman" w:hAnsi="Times New Roman"/>
          <w:color w:val="1A1A1A" w:themeColor="background1" w:themeShade="1a"/>
          <w:sz w:val="24"/>
          <w:szCs w:val="24"/>
          <w:highlight w:val="white"/>
        </w:rPr>
        <w:t xml:space="preserve">На думку місцевих експертів, найбільш </w:t>
      </w:r>
      <w:r>
        <w:rPr>
          <w:rFonts w:cs="Times New Roman" w:ascii="Times New Roman" w:hAnsi="Times New Roman"/>
          <w:b/>
          <w:bCs/>
          <w:color w:val="1A1A1A" w:themeColor="background1" w:themeShade="1a"/>
          <w:sz w:val="24"/>
          <w:szCs w:val="24"/>
          <w:highlight w:val="white"/>
        </w:rPr>
        <w:t>перспективними для розвитку економіки</w:t>
      </w:r>
      <w:r>
        <w:rPr>
          <w:rFonts w:cs="Times New Roman" w:ascii="Times New Roman" w:hAnsi="Times New Roman"/>
          <w:color w:val="1A1A1A" w:themeColor="background1" w:themeShade="1a"/>
          <w:sz w:val="24"/>
          <w:szCs w:val="24"/>
          <w:highlight w:val="white"/>
        </w:rPr>
        <w:t xml:space="preserve"> Каховської громади є сучасна промисловість, залучення інвестицій та розвиток туризму.</w:t>
      </w:r>
    </w:p>
    <w:p>
      <w:pPr>
        <w:pStyle w:val="Normal"/>
        <w:spacing w:lineRule="auto" w:line="240" w:before="120" w:after="0"/>
        <w:ind w:firstLine="709"/>
        <w:jc w:val="both"/>
        <w:rPr>
          <w:rFonts w:ascii="Times New Roman" w:hAnsi="Times New Roman" w:cs="Times New Roman"/>
          <w:color w:val="1A1A1A" w:themeColor="background1" w:themeShade="1a"/>
          <w:sz w:val="24"/>
          <w:szCs w:val="24"/>
        </w:rPr>
      </w:pPr>
      <w:r>
        <w:rPr>
          <w:rFonts w:cs="Times New Roman" w:ascii="Times New Roman" w:hAnsi="Times New Roman"/>
          <w:color w:val="1A1A1A" w:themeColor="background1" w:themeShade="1a"/>
          <w:sz w:val="24"/>
          <w:szCs w:val="24"/>
          <w:highlight w:val="white"/>
        </w:rPr>
        <w:t xml:space="preserve">Доходи </w:t>
      </w:r>
      <w:r>
        <w:rPr>
          <w:rFonts w:cs="Times New Roman" w:ascii="Times New Roman" w:hAnsi="Times New Roman"/>
          <w:b/>
          <w:bCs/>
          <w:color w:val="1A1A1A" w:themeColor="background1" w:themeShade="1a"/>
          <w:sz w:val="24"/>
          <w:szCs w:val="24"/>
          <w:highlight w:val="white"/>
        </w:rPr>
        <w:t>місцевого бюджету</w:t>
      </w:r>
      <w:r>
        <w:rPr>
          <w:rFonts w:cs="Times New Roman" w:ascii="Times New Roman" w:hAnsi="Times New Roman"/>
          <w:color w:val="1A1A1A" w:themeColor="background1" w:themeShade="1a"/>
          <w:sz w:val="24"/>
          <w:szCs w:val="24"/>
          <w:highlight w:val="white"/>
        </w:rPr>
        <w:t xml:space="preserve"> (прогноз на 2021 р., власні доходи) становлять майже 270 млн. грн, структура наведена на рис. 6. Найбільша частина – податок з доходів фізичних осіб (понад 145 млн. грн.), що свідчить про істотний рівень зайнятості та оплати праці найманих працівників.</w:t>
      </w:r>
      <w:r>
        <w:rPr>
          <w:rFonts w:cs="Times New Roman" w:ascii="Times New Roman" w:hAnsi="Times New Roman"/>
          <w:color w:val="1A1A1A" w:themeColor="background1" w:themeShade="1a"/>
          <w:sz w:val="24"/>
          <w:szCs w:val="24"/>
        </w:rPr>
        <w:t xml:space="preserve"> Ймовірними ресурсами збільшення власних надходжень є краще адміністрування земельних платежів, податків на нерухомість, якісніше управління комунальними підприємствами та майном.</w:t>
      </w:r>
    </w:p>
    <w:tbl>
      <w:tblPr>
        <w:tblpPr w:bottomFromText="0" w:horzAnchor="margin" w:leftFromText="180" w:rightFromText="180" w:tblpX="0" w:tblpY="30" w:topFromText="0" w:vertAnchor="text"/>
        <w:tblW w:w="10065" w:type="dxa"/>
        <w:jc w:val="left"/>
        <w:tblInd w:w="108" w:type="dxa"/>
        <w:tblBorders/>
        <w:tblCellMar>
          <w:top w:w="0" w:type="dxa"/>
          <w:left w:w="108" w:type="dxa"/>
          <w:bottom w:w="0" w:type="dxa"/>
          <w:right w:w="108" w:type="dxa"/>
        </w:tblCellMar>
        <w:tblLook w:val="01e0" w:noVBand="0" w:noHBand="0" w:lastColumn="1" w:firstColumn="1" w:lastRow="1" w:firstRow="1"/>
      </w:tblPr>
      <w:tblGrid>
        <w:gridCol w:w="10065"/>
      </w:tblGrid>
      <w:tr>
        <w:trPr/>
        <w:tc>
          <w:tcPr>
            <w:tcW w:w="10065" w:type="dxa"/>
            <w:tcBorders/>
            <w:shd w:fill="auto" w:val="clear"/>
          </w:tcPr>
          <w:p>
            <w:pPr>
              <w:pStyle w:val="Normal"/>
              <w:spacing w:lineRule="auto" w:line="240" w:before="120" w:after="0"/>
              <w:ind w:left="-105" w:hanging="0"/>
              <w:jc w:val="both"/>
              <w:rPr>
                <w:rFonts w:ascii="Times New Roman" w:hAnsi="Times New Roman" w:cs="Times New Roman"/>
                <w:color w:val="1A1A1A" w:themeColor="background1" w:themeShade="1a"/>
                <w:sz w:val="24"/>
                <w:szCs w:val="24"/>
              </w:rPr>
            </w:pPr>
            <w:bookmarkStart w:id="46" w:name="_Hlk65535107"/>
            <w:bookmarkEnd w:id="46"/>
            <w:r>
              <w:rPr/>
              <w:drawing>
                <wp:inline distT="0" distB="0" distL="0" distR="0">
                  <wp:extent cx="5954395" cy="3492500"/>
                  <wp:effectExtent l="0" t="0" r="0" b="0"/>
                  <wp:docPr id="14"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5" descr=""/>
                          <pic:cNvPicPr>
                            <a:picLocks noChangeAspect="1" noChangeArrowheads="1"/>
                          </pic:cNvPicPr>
                        </pic:nvPicPr>
                        <pic:blipFill>
                          <a:blip r:embed="rId8"/>
                          <a:srcRect l="12043" t="2583" r="5138" b="0"/>
                          <a:stretch>
                            <a:fillRect/>
                          </a:stretch>
                        </pic:blipFill>
                        <pic:spPr bwMode="auto">
                          <a:xfrm>
                            <a:off x="0" y="0"/>
                            <a:ext cx="5954395" cy="3492500"/>
                          </a:xfrm>
                          <a:prstGeom prst="rect">
                            <a:avLst/>
                          </a:prstGeom>
                        </pic:spPr>
                      </pic:pic>
                    </a:graphicData>
                  </a:graphic>
                </wp:inline>
              </w:drawing>
            </w:r>
          </w:p>
          <w:p>
            <w:pPr>
              <w:pStyle w:val="Normal"/>
              <w:spacing w:lineRule="auto" w:line="240" w:before="0" w:after="0"/>
              <w:ind w:left="-108" w:hanging="0"/>
              <w:jc w:val="both"/>
              <w:rPr>
                <w:rFonts w:ascii="Times New Roman" w:hAnsi="Times New Roman" w:cs="Times New Roman"/>
                <w:color w:val="1A1A1A" w:themeColor="background1" w:themeShade="1a"/>
                <w:sz w:val="6"/>
                <w:szCs w:val="6"/>
              </w:rPr>
            </w:pPr>
            <w:r>
              <w:rPr>
                <w:rFonts w:cs="Times New Roman" w:ascii="Times New Roman" w:hAnsi="Times New Roman"/>
                <w:color w:val="1A1A1A" w:themeColor="background1" w:themeShade="1a"/>
                <w:sz w:val="6"/>
                <w:szCs w:val="6"/>
              </w:rPr>
            </w:r>
          </w:p>
          <w:p>
            <w:pPr>
              <w:pStyle w:val="ListParagraph"/>
              <w:numPr>
                <w:ilvl w:val="0"/>
                <w:numId w:val="3"/>
              </w:numPr>
              <w:tabs>
                <w:tab w:val="left" w:pos="1260" w:leader="none"/>
              </w:tabs>
              <w:spacing w:lineRule="auto" w:line="240"/>
              <w:ind w:left="714" w:hanging="357"/>
              <w:rPr>
                <w:rFonts w:ascii="Times New Roman" w:hAnsi="Times New Roman" w:cs="Times New Roman"/>
                <w:b/>
                <w:b/>
                <w:color w:val="1A1A1A" w:themeColor="background1" w:themeShade="1a"/>
                <w:sz w:val="24"/>
                <w:szCs w:val="24"/>
                <w:lang w:val="uk-UA"/>
              </w:rPr>
            </w:pPr>
            <w:bookmarkStart w:id="47" w:name="_Hlk655351071"/>
            <w:bookmarkEnd w:id="47"/>
            <w:r>
              <w:rPr>
                <w:rFonts w:cs="Times New Roman" w:ascii="Times New Roman" w:hAnsi="Times New Roman"/>
                <w:b/>
                <w:color w:val="1A1A1A" w:themeColor="background1" w:themeShade="1a"/>
                <w:sz w:val="24"/>
                <w:szCs w:val="24"/>
                <w:lang w:val="uk-UA"/>
              </w:rPr>
              <w:t>Структура дохідної частини місцевого бюджету Каховської ТГ</w:t>
            </w:r>
          </w:p>
        </w:tc>
      </w:tr>
    </w:tbl>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t xml:space="preserve">Видатки місцевого бюджету Каховської громади на 2021 рік заплановані у розмірі понад 325 млн. грн, структура наведена на рис. 7. Звертає на себе увагу суттєва частка витрат на освіту (69%), загальна частка «соціальних» видатків (освіта, медицина, соціальні послуги, культура) – понад 85% від усіх видатків громади. При цьому, 9% витрат на управління громадою є доволі конкурентним показником. </w:t>
      </w:r>
    </w:p>
    <w:tbl>
      <w:tblPr>
        <w:tblpPr w:bottomFromText="0" w:horzAnchor="margin" w:leftFromText="180" w:rightFromText="180" w:tblpX="0" w:tblpY="30" w:topFromText="0" w:vertAnchor="text"/>
        <w:tblW w:w="9960" w:type="dxa"/>
        <w:jc w:val="left"/>
        <w:tblInd w:w="108" w:type="dxa"/>
        <w:tblBorders/>
        <w:tblCellMar>
          <w:top w:w="0" w:type="dxa"/>
          <w:left w:w="108" w:type="dxa"/>
          <w:bottom w:w="0" w:type="dxa"/>
          <w:right w:w="108" w:type="dxa"/>
        </w:tblCellMar>
        <w:tblLook w:val="01e0" w:noVBand="0" w:noHBand="0" w:lastColumn="1" w:firstColumn="1" w:lastRow="1" w:firstRow="1"/>
      </w:tblPr>
      <w:tblGrid>
        <w:gridCol w:w="9960"/>
      </w:tblGrid>
      <w:tr>
        <w:trPr/>
        <w:tc>
          <w:tcPr>
            <w:tcW w:w="9960" w:type="dxa"/>
            <w:tcBorders/>
            <w:shd w:fill="auto" w:val="clear"/>
          </w:tcPr>
          <w:p>
            <w:pPr>
              <w:pStyle w:val="Normal"/>
              <w:spacing w:lineRule="auto" w:line="240" w:before="120" w:after="0"/>
              <w:jc w:val="both"/>
              <w:rPr>
                <w:rFonts w:ascii="Times New Roman" w:hAnsi="Times New Roman" w:cs="Times New Roman"/>
                <w:color w:val="1A1A1A" w:themeColor="background1" w:themeShade="1a"/>
                <w:sz w:val="24"/>
                <w:szCs w:val="24"/>
              </w:rPr>
            </w:pPr>
            <w:r>
              <w:rPr/>
              <w:drawing>
                <wp:inline distT="0" distB="0" distL="0" distR="0">
                  <wp:extent cx="6187440" cy="3295650"/>
                  <wp:effectExtent l="0" t="0" r="0" b="0"/>
                  <wp:docPr id="15" name="Рисунок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32" descr=""/>
                          <pic:cNvPicPr>
                            <a:picLocks noChangeAspect="1" noChangeArrowheads="1"/>
                          </pic:cNvPicPr>
                        </pic:nvPicPr>
                        <pic:blipFill>
                          <a:blip r:embed="rId9"/>
                          <a:srcRect l="30629" t="1727" r="-7119" b="-8589"/>
                          <a:stretch>
                            <a:fillRect/>
                          </a:stretch>
                        </pic:blipFill>
                        <pic:spPr bwMode="auto">
                          <a:xfrm>
                            <a:off x="0" y="0"/>
                            <a:ext cx="6187440" cy="3295650"/>
                          </a:xfrm>
                          <a:prstGeom prst="rect">
                            <a:avLst/>
                          </a:prstGeom>
                        </pic:spPr>
                      </pic:pic>
                    </a:graphicData>
                  </a:graphic>
                </wp:inline>
              </w:drawing>
            </w:r>
          </w:p>
          <w:p>
            <w:pPr>
              <w:pStyle w:val="Normal"/>
              <w:spacing w:lineRule="auto" w:line="240" w:before="120" w:after="0"/>
              <w:ind w:firstLine="284"/>
              <w:jc w:val="both"/>
              <w:rPr>
                <w:rFonts w:ascii="Times New Roman" w:hAnsi="Times New Roman" w:cs="Times New Roman"/>
                <w:color w:val="1A1A1A" w:themeColor="background1" w:themeShade="1a"/>
                <w:sz w:val="16"/>
                <w:szCs w:val="16"/>
              </w:rPr>
            </w:pPr>
            <w:r>
              <w:rPr>
                <w:rFonts w:cs="Times New Roman" w:ascii="Times New Roman" w:hAnsi="Times New Roman"/>
                <w:color w:val="1A1A1A" w:themeColor="background1" w:themeShade="1a"/>
                <w:sz w:val="16"/>
                <w:szCs w:val="16"/>
              </w:rPr>
            </w:r>
          </w:p>
          <w:p>
            <w:pPr>
              <w:pStyle w:val="ListParagraph"/>
              <w:numPr>
                <w:ilvl w:val="0"/>
                <w:numId w:val="3"/>
              </w:numPr>
              <w:tabs>
                <w:tab w:val="left" w:pos="1260" w:leader="none"/>
              </w:tabs>
              <w:spacing w:lineRule="auto" w:line="240"/>
              <w:rPr>
                <w:rFonts w:ascii="Times New Roman" w:hAnsi="Times New Roman" w:cs="Times New Roman"/>
                <w:b/>
                <w:b/>
                <w:color w:val="1A1A1A" w:themeColor="background1" w:themeShade="1a"/>
                <w:sz w:val="24"/>
                <w:szCs w:val="24"/>
                <w:lang w:val="uk-UA"/>
              </w:rPr>
            </w:pPr>
            <w:r>
              <w:rPr>
                <w:rFonts w:cs="Times New Roman" w:ascii="Times New Roman" w:hAnsi="Times New Roman"/>
                <w:b/>
                <w:color w:val="1A1A1A" w:themeColor="background1" w:themeShade="1a"/>
                <w:sz w:val="24"/>
                <w:szCs w:val="24"/>
                <w:lang w:val="uk-UA"/>
              </w:rPr>
              <w:t>Структура видатків місцевого бюджету Каховської ТГ</w:t>
            </w:r>
          </w:p>
        </w:tc>
      </w:tr>
      <w:tr>
        <w:trPr/>
        <w:tc>
          <w:tcPr>
            <w:tcW w:w="9960" w:type="dxa"/>
            <w:tcBorders/>
            <w:shd w:fill="auto" w:val="clear"/>
          </w:tcPr>
          <w:p>
            <w:pPr>
              <w:pStyle w:val="Normal"/>
              <w:spacing w:lineRule="auto" w:line="240" w:before="120" w:after="0"/>
              <w:jc w:val="both"/>
              <w:rPr>
                <w:rFonts w:ascii="Times New Roman" w:hAnsi="Times New Roman" w:cs="Times New Roman"/>
                <w:color w:val="1A1A1A" w:themeColor="background1" w:themeShade="1a"/>
                <w:sz w:val="24"/>
                <w:szCs w:val="24"/>
              </w:rPr>
            </w:pPr>
            <w:r>
              <w:rPr>
                <w:rFonts w:cs="Times New Roman" w:ascii="Times New Roman" w:hAnsi="Times New Roman"/>
                <w:color w:val="1A1A1A" w:themeColor="background1" w:themeShade="1a"/>
                <w:sz w:val="24"/>
                <w:szCs w:val="24"/>
              </w:rPr>
            </w:r>
          </w:p>
        </w:tc>
      </w:tr>
    </w:tbl>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t>Очевидно, що оптимізація видатків та краща фінансова спроможність громади дозволила б створити у громаді повноцінний бюджет розвитку (наразі лише 9 млн. грн) та збільшити фінансування на покращення інфраструктури.</w:t>
      </w:r>
    </w:p>
    <w:p>
      <w:pPr>
        <w:pStyle w:val="Normal"/>
        <w:spacing w:lineRule="auto" w:line="240" w:before="120" w:after="120"/>
        <w:ind w:firstLine="709"/>
        <w:jc w:val="both"/>
        <w:rPr>
          <w:rFonts w:ascii="Times New Roman" w:hAnsi="Times New Roman"/>
          <w:sz w:val="24"/>
          <w:szCs w:val="24"/>
        </w:rPr>
      </w:pPr>
      <w:r>
        <w:rPr>
          <w:rFonts w:cs="Times New Roman" w:ascii="Times New Roman" w:hAnsi="Times New Roman"/>
          <w:b/>
          <w:bCs/>
          <w:sz w:val="24"/>
          <w:szCs w:val="24"/>
        </w:rPr>
        <w:t>Фінансові послуги</w:t>
      </w:r>
      <w:r>
        <w:rPr>
          <w:rFonts w:cs="Times New Roman" w:ascii="Times New Roman" w:hAnsi="Times New Roman"/>
          <w:sz w:val="24"/>
          <w:szCs w:val="24"/>
        </w:rPr>
        <w:t xml:space="preserve"> бізнесу та фізичним особам надають відділення 10 банків та одна кредитна спілка, </w:t>
      </w:r>
      <w:r>
        <w:rPr>
          <w:rFonts w:ascii="Times New Roman" w:hAnsi="Times New Roman"/>
          <w:sz w:val="24"/>
          <w:szCs w:val="24"/>
        </w:rPr>
        <w:t xml:space="preserve">розташовані в адміністративному центрі громади, м. Каховка. </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b/>
          <w:bCs/>
          <w:color w:val="1A1A1A" w:themeColor="background1" w:themeShade="1a"/>
          <w:sz w:val="24"/>
          <w:szCs w:val="24"/>
        </w:rPr>
        <w:t xml:space="preserve">Сфера послуг </w:t>
      </w:r>
      <w:r>
        <w:rPr>
          <w:rFonts w:cs="Times New Roman" w:ascii="Times New Roman" w:hAnsi="Times New Roman"/>
          <w:color w:val="1A1A1A" w:themeColor="background1" w:themeShade="1a"/>
          <w:sz w:val="24"/>
          <w:szCs w:val="24"/>
        </w:rPr>
        <w:t>є доволі розвиненою і нараховує 2 ринки,  29 закладів громадського харчування, 193 заклади торгівлі, 43 заклади побутового обслуговування та 34 аптеки, які сконцентровані в м. Каховка. Мешканці сіл отримують послуги переважно у місті, частково – приватними підприємцями на виїзній основі.</w:t>
        <w:tab/>
        <w:t xml:space="preserve"> </w:t>
      </w:r>
    </w:p>
    <w:p>
      <w:pPr>
        <w:pStyle w:val="Normal"/>
        <w:shd w:val="clear" w:color="auto" w:fill="FFFFFF"/>
        <w:spacing w:lineRule="auto" w:line="240" w:before="0" w:after="0"/>
        <w:ind w:firstLine="708"/>
        <w:jc w:val="both"/>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ab/>
      </w:r>
    </w:p>
    <w:p>
      <w:pPr>
        <w:pStyle w:val="2"/>
        <w:spacing w:before="0" w:after="0"/>
        <w:ind w:left="284" w:hanging="0"/>
        <w:rPr>
          <w:rFonts w:ascii="Times New Roman" w:hAnsi="Times New Roman" w:cs="Times New Roman"/>
          <w:szCs w:val="24"/>
        </w:rPr>
      </w:pPr>
      <w:bookmarkStart w:id="48" w:name="_Toc84967173"/>
      <w:bookmarkEnd w:id="48"/>
      <w:r>
        <w:rPr>
          <w:rFonts w:cs="Times New Roman" w:ascii="Times New Roman" w:hAnsi="Times New Roman"/>
          <w:szCs w:val="24"/>
        </w:rPr>
        <w:t>1.5. Охорона навколишнього середовища</w:t>
      </w:r>
    </w:p>
    <w:p>
      <w:pPr>
        <w:pStyle w:val="Normal"/>
        <w:spacing w:lineRule="auto" w:line="240" w:before="120" w:after="0"/>
        <w:ind w:firstLine="709"/>
        <w:jc w:val="both"/>
        <w:rPr>
          <w:rFonts w:ascii="Times New Roman" w:hAnsi="Times New Roman" w:eastAsia="Calibri" w:cs="Times New Roman"/>
          <w:color w:val="0D0D0D" w:themeColor="text1" w:themeTint="f2"/>
          <w:sz w:val="24"/>
          <w:szCs w:val="24"/>
          <w:highlight w:val="white"/>
        </w:rPr>
      </w:pPr>
      <w:r>
        <w:rPr>
          <w:rFonts w:eastAsia="Calibri" w:cs="Times New Roman" w:ascii="Times New Roman" w:hAnsi="Times New Roman"/>
          <w:color w:val="0D0D0D" w:themeColor="text1" w:themeTint="f2"/>
          <w:sz w:val="24"/>
          <w:szCs w:val="24"/>
          <w:shd w:fill="FFFFFF" w:val="clear"/>
        </w:rPr>
        <w:t>Охорона довкілля в місті є пріоритетом діяльності місцевих органів, про що свідчать наявні спеціалізовані розробки в галузі запровадження екологічно орієнтованих заходів при функціонуванні господарського комплексу міста. На основі аналізу існуючої природної та техногенно-екологічної ситуації, була складена Cхема планувальних обмежень, яка є основою для розроблення еколого-містобудівного обґрунтування перспективного розвитку території.</w:t>
      </w:r>
    </w:p>
    <w:p>
      <w:pPr>
        <w:pStyle w:val="Normal"/>
        <w:spacing w:lineRule="auto" w:line="240" w:before="120" w:after="0"/>
        <w:ind w:firstLine="709"/>
        <w:jc w:val="both"/>
        <w:rPr>
          <w:rFonts w:ascii="Times New Roman" w:hAnsi="Times New Roman" w:eastAsia="Calibri" w:cs="Times New Roman"/>
          <w:color w:val="0D0D0D" w:themeColor="text1" w:themeTint="f2"/>
          <w:sz w:val="24"/>
          <w:szCs w:val="24"/>
          <w:highlight w:val="white"/>
        </w:rPr>
      </w:pPr>
      <w:r>
        <w:rPr>
          <w:rFonts w:eastAsia="Calibri" w:cs="Times New Roman" w:ascii="Times New Roman" w:hAnsi="Times New Roman"/>
          <w:color w:val="0D0D0D" w:themeColor="text1" w:themeTint="f2"/>
          <w:sz w:val="24"/>
          <w:szCs w:val="24"/>
          <w:shd w:fill="FFFFFF" w:val="clear"/>
        </w:rPr>
        <w:t>Стан навколишнього середовища визначає активність у сфері природокористування господарського комплексу міста та його впливи на всі складові довкілля. Місто Каховка не входить до переліку екологічно забруднених населених пунктів України. Загальний рівень забруднення повітря за індексом забруднення атмосфери в місті оцінюється як низький.</w:t>
      </w:r>
    </w:p>
    <w:p>
      <w:pPr>
        <w:pStyle w:val="Normal"/>
        <w:spacing w:lineRule="auto" w:line="240" w:before="120" w:after="0"/>
        <w:ind w:firstLine="709"/>
        <w:jc w:val="both"/>
        <w:rPr>
          <w:highlight w:val="white"/>
        </w:rPr>
      </w:pPr>
      <w:r>
        <w:rPr>
          <w:rFonts w:eastAsia="Calibri" w:cs="Times New Roman" w:ascii="Times New Roman" w:hAnsi="Times New Roman"/>
          <w:color w:val="0D0D0D" w:themeColor="text1" w:themeTint="f2"/>
          <w:sz w:val="24"/>
          <w:szCs w:val="24"/>
          <w:shd w:fill="FFFFFF" w:val="clear"/>
        </w:rPr>
        <w:t>Частина промислових та комунально-складських підприємств розташован</w:t>
      </w:r>
      <w:r>
        <w:rPr>
          <w:rFonts w:eastAsia="Calibri" w:cs="Times New Roman" w:ascii="Times New Roman" w:hAnsi="Times New Roman"/>
          <w:color w:val="0D0D0D" w:themeColor="text1" w:themeTint="f2"/>
          <w:sz w:val="24"/>
          <w:szCs w:val="24"/>
          <w:highlight w:val="white"/>
        </w:rPr>
        <w:t>і локально серед житлової забудови, зокрема ПрАТ ” КЗЕЗО”, Каховський ХПП, що має негати</w:t>
      </w:r>
      <w:r>
        <w:rPr>
          <w:rFonts w:eastAsia="Calibri" w:cs="Times New Roman" w:ascii="Times New Roman" w:hAnsi="Times New Roman"/>
          <w:color w:val="0D0D0D" w:themeColor="text1" w:themeTint="f2"/>
          <w:sz w:val="24"/>
          <w:szCs w:val="24"/>
          <w:shd w:fill="FFFFFF" w:val="clear"/>
        </w:rPr>
        <w:t>вні екологічні впливи.</w:t>
      </w:r>
    </w:p>
    <w:p>
      <w:pPr>
        <w:pStyle w:val="Normal"/>
        <w:spacing w:lineRule="auto" w:line="240" w:before="0" w:after="0"/>
        <w:ind w:firstLine="709"/>
        <w:jc w:val="both"/>
        <w:rPr>
          <w:rFonts w:ascii="Times New Roman" w:hAnsi="Times New Roman" w:eastAsia="Calibri" w:cs="Times New Roman"/>
          <w:color w:val="0D0D0D" w:themeColor="text1" w:themeTint="f2"/>
          <w:sz w:val="24"/>
          <w:szCs w:val="24"/>
          <w:highlight w:val="white"/>
        </w:rPr>
      </w:pPr>
      <w:r>
        <w:rPr>
          <w:rFonts w:eastAsia="Calibri" w:cs="Times New Roman" w:ascii="Times New Roman" w:hAnsi="Times New Roman"/>
          <w:color w:val="0D0D0D" w:themeColor="text1" w:themeTint="f2"/>
          <w:sz w:val="24"/>
          <w:szCs w:val="24"/>
          <w:shd w:fill="FFFFFF" w:val="clear"/>
        </w:rPr>
        <w:t>Основними шляхами зниження забруднення атмосфери є розроблення й впровадження очисних фільтрів, застосування екологічно безпечних джерел енергії та безвідхідної технології виробництва, боротьба з вихлопними газами автомобілів, озеленення та ремонт дорожнього покриття при необхідності тощо.</w:t>
        <w:tab/>
        <w:t>В існуючих кліматичних умовах регіону важливим фактором щодо суттєвого зменшення присутності у повітрі пилу є достатнє озеленення міста.</w:t>
      </w:r>
    </w:p>
    <w:p>
      <w:pPr>
        <w:pStyle w:val="Normal"/>
        <w:spacing w:lineRule="auto" w:line="240" w:before="120" w:after="0"/>
        <w:ind w:firstLine="709"/>
        <w:jc w:val="both"/>
        <w:rPr>
          <w:rFonts w:ascii="Times New Roman" w:hAnsi="Times New Roman" w:eastAsia="Calibri" w:cs="Times New Roman"/>
          <w:color w:val="0D0D0D" w:themeColor="text1" w:themeTint="f2"/>
          <w:sz w:val="24"/>
          <w:szCs w:val="24"/>
          <w:highlight w:val="white"/>
        </w:rPr>
      </w:pPr>
      <w:r>
        <w:rPr>
          <w:rFonts w:eastAsia="Calibri" w:cs="Times New Roman" w:ascii="Times New Roman" w:hAnsi="Times New Roman"/>
          <w:color w:val="0D0D0D" w:themeColor="text1" w:themeTint="f2"/>
          <w:sz w:val="24"/>
          <w:szCs w:val="24"/>
          <w:shd w:fill="FFFFFF" w:val="clear"/>
        </w:rPr>
        <w:t xml:space="preserve">Найбільш раціональними з точки зору впливу на довкілля об’єктами енергетичної галузі, які не несуть загрози навколишньому середовищу, є </w:t>
      </w:r>
      <w:r>
        <w:rPr>
          <w:rFonts w:eastAsia="Calibri" w:cs="Times New Roman" w:ascii="Times New Roman" w:hAnsi="Times New Roman"/>
          <w:b/>
          <w:bCs/>
          <w:color w:val="0D0D0D" w:themeColor="text1" w:themeTint="f2"/>
          <w:sz w:val="24"/>
          <w:szCs w:val="24"/>
          <w:shd w:fill="FFFFFF" w:val="clear"/>
        </w:rPr>
        <w:t>сонячні електростанції</w:t>
      </w:r>
      <w:r>
        <w:rPr>
          <w:rFonts w:eastAsia="Calibri" w:cs="Times New Roman" w:ascii="Times New Roman" w:hAnsi="Times New Roman"/>
          <w:color w:val="0D0D0D" w:themeColor="text1" w:themeTint="f2"/>
          <w:sz w:val="24"/>
          <w:szCs w:val="24"/>
          <w:shd w:fill="FFFFFF" w:val="clear"/>
        </w:rPr>
        <w:t xml:space="preserve"> (СЕС). На сьогодні в місті вже успішно працює СЕС ТОВ «С. Енерджі-Херсон» потужністю 7,713 МВт.</w:t>
      </w:r>
    </w:p>
    <w:p>
      <w:pPr>
        <w:pStyle w:val="Normal"/>
        <w:spacing w:lineRule="auto" w:line="240" w:before="120" w:after="0"/>
        <w:ind w:firstLine="709"/>
        <w:jc w:val="both"/>
        <w:rPr>
          <w:rFonts w:ascii="Times New Roman" w:hAnsi="Times New Roman" w:eastAsia="Calibri" w:cs="Times New Roman"/>
          <w:color w:val="0D0D0D" w:themeColor="text1" w:themeTint="f2"/>
          <w:sz w:val="24"/>
          <w:szCs w:val="24"/>
          <w:highlight w:val="white"/>
        </w:rPr>
      </w:pPr>
      <w:r>
        <w:rPr>
          <w:rFonts w:eastAsia="Calibri" w:cs="Times New Roman" w:ascii="Times New Roman" w:hAnsi="Times New Roman"/>
          <w:color w:val="0D0D0D" w:themeColor="text1" w:themeTint="f2"/>
          <w:sz w:val="24"/>
          <w:szCs w:val="24"/>
          <w:shd w:fill="FFFFFF" w:val="clear"/>
        </w:rPr>
        <w:t xml:space="preserve">Знешкодження </w:t>
      </w:r>
      <w:r>
        <w:rPr>
          <w:rFonts w:eastAsia="Calibri" w:cs="Times New Roman" w:ascii="Times New Roman" w:hAnsi="Times New Roman"/>
          <w:b/>
          <w:bCs/>
          <w:color w:val="0D0D0D" w:themeColor="text1" w:themeTint="f2"/>
          <w:sz w:val="24"/>
          <w:szCs w:val="24"/>
          <w:shd w:fill="FFFFFF" w:val="clear"/>
        </w:rPr>
        <w:t>твердих побутових відходів</w:t>
      </w:r>
      <w:r>
        <w:rPr>
          <w:rFonts w:eastAsia="Calibri" w:cs="Times New Roman" w:ascii="Times New Roman" w:hAnsi="Times New Roman"/>
          <w:color w:val="0D0D0D" w:themeColor="text1" w:themeTint="f2"/>
          <w:sz w:val="24"/>
          <w:szCs w:val="24"/>
          <w:shd w:fill="FFFFFF" w:val="clear"/>
        </w:rPr>
        <w:t xml:space="preserve"> (ТПВ) відбувається на міському полігоні. Полігон ТПВ (паспортизований), площею 18,3 га, розташований за межами міста, на землях державної власності Любимівської та Малокаховської сільрад, на відстані 4,8 км від житлової забудови та 5,3 км до відкритого водоймища. Щорічний обсяг накопичення – 133 т/рік; переважають відходи житлового сектору ІУ класу. За даними екологічних служб на полігоні накопичено 54,7 тис. м</w:t>
      </w:r>
      <w:r>
        <w:rPr>
          <w:rFonts w:eastAsia="Calibri" w:cs="Times New Roman" w:ascii="Times New Roman" w:hAnsi="Times New Roman"/>
          <w:color w:val="0D0D0D" w:themeColor="text1" w:themeTint="f2"/>
          <w:sz w:val="24"/>
          <w:szCs w:val="24"/>
          <w:shd w:fill="FFFFFF" w:val="clear"/>
          <w:vertAlign w:val="superscript"/>
        </w:rPr>
        <w:t>3</w:t>
      </w:r>
      <w:r>
        <w:rPr>
          <w:rFonts w:eastAsia="Calibri" w:cs="Times New Roman" w:ascii="Times New Roman" w:hAnsi="Times New Roman"/>
          <w:color w:val="0D0D0D" w:themeColor="text1" w:themeTint="f2"/>
          <w:sz w:val="24"/>
          <w:szCs w:val="24"/>
          <w:shd w:fill="FFFFFF" w:val="clear"/>
        </w:rPr>
        <w:t xml:space="preserve"> ТПВ. Потужності з переробки ТПВ в місті (як і в регіоні) відсутні. Актуальним для території міста є налагодження ефективної схеми роздільного збирання відходів.</w:t>
      </w:r>
    </w:p>
    <w:p>
      <w:pPr>
        <w:pStyle w:val="Normal"/>
        <w:spacing w:lineRule="auto" w:line="240" w:before="0" w:after="0"/>
        <w:ind w:firstLine="709"/>
        <w:jc w:val="both"/>
        <w:rPr>
          <w:rFonts w:ascii="Times New Roman" w:hAnsi="Times New Roman" w:eastAsia="Calibri" w:cs="Times New Roman"/>
          <w:color w:val="0D0D0D" w:themeColor="text1" w:themeTint="f2"/>
          <w:sz w:val="24"/>
          <w:szCs w:val="24"/>
          <w:highlight w:val="white"/>
        </w:rPr>
      </w:pPr>
      <w:r>
        <w:rPr>
          <w:rFonts w:eastAsia="Calibri" w:cs="Times New Roman" w:ascii="Times New Roman" w:hAnsi="Times New Roman"/>
          <w:color w:val="0D0D0D" w:themeColor="text1" w:themeTint="f2"/>
          <w:sz w:val="24"/>
          <w:szCs w:val="24"/>
          <w:shd w:fill="FFFFFF" w:val="clear"/>
        </w:rPr>
        <w:t>Стан полігону задовільний, функціонує з дотриманням правил експлуатації та захоронення відходів. Роздільне збирання побутових відходів в місті проводиться частково – відокремлюються відпрацьовані джерела живлення, пластик, скло.</w:t>
      </w:r>
    </w:p>
    <w:p>
      <w:pPr>
        <w:pStyle w:val="Normal"/>
        <w:spacing w:lineRule="auto" w:line="240" w:before="0" w:after="0"/>
        <w:ind w:firstLine="709"/>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Зменшення впливу ТПВ на довкілля, покращення санітарного стану території громади та покращення умов проживання мешканців може бути досягнуто за рахунок запровадження системи поводження з твердими побутовими відходами. Необхідно  підвищувати рівень участі мешканців у сфері поводження з ТПВ, відповідальності та екологічної культури населення. </w:t>
      </w:r>
    </w:p>
    <w:p>
      <w:pPr>
        <w:pStyle w:val="2"/>
        <w:spacing w:before="120" w:after="120"/>
        <w:ind w:left="0" w:hanging="0"/>
        <w:rPr>
          <w:rFonts w:ascii="Times New Roman" w:hAnsi="Times New Roman" w:cs="Times New Roman"/>
          <w:szCs w:val="24"/>
        </w:rPr>
      </w:pPr>
      <w:bookmarkStart w:id="49" w:name="_Toc84967174"/>
      <w:bookmarkEnd w:id="49"/>
      <w:r>
        <w:rPr>
          <w:rFonts w:cs="Times New Roman" w:ascii="Times New Roman" w:hAnsi="Times New Roman"/>
          <w:szCs w:val="24"/>
        </w:rPr>
        <w:t>1.6. Результати аналізу соціально-економічного розвитку Каховської громади</w:t>
      </w:r>
    </w:p>
    <w:p>
      <w:pPr>
        <w:pStyle w:val="Normal"/>
        <w:spacing w:lineRule="auto" w:line="240" w:before="120" w:after="0"/>
        <w:ind w:firstLine="709"/>
        <w:jc w:val="both"/>
        <w:rPr>
          <w:rFonts w:ascii="Times New Roman" w:hAnsi="Times New Roman" w:eastAsia="Calibri" w:cs="Times New Roman"/>
          <w:sz w:val="24"/>
          <w:szCs w:val="24"/>
        </w:rPr>
      </w:pPr>
      <w:bookmarkStart w:id="50" w:name="_Hlk65593922"/>
      <w:bookmarkStart w:id="51" w:name="_Hlk655875921"/>
      <w:bookmarkEnd w:id="50"/>
      <w:bookmarkEnd w:id="51"/>
      <w:r>
        <w:rPr>
          <w:rFonts w:eastAsia="Calibri" w:cs="Times New Roman" w:ascii="Times New Roman" w:hAnsi="Times New Roman"/>
          <w:sz w:val="24"/>
          <w:szCs w:val="24"/>
        </w:rPr>
        <w:t xml:space="preserve">При визначенні основних проблем, що стримують розвиток громади враховувались результати анкетного опитування мешканців Каховської територіальної громади. Воно проводилось у січні-квітні 2021 року, респондентами стали 417 мешканці громади та 65 представників молоді. </w:t>
      </w:r>
    </w:p>
    <w:p>
      <w:pPr>
        <w:pStyle w:val="Normal"/>
        <w:spacing w:lineRule="auto" w:line="240" w:before="120" w:after="0"/>
        <w:ind w:firstLine="709"/>
        <w:jc w:val="both"/>
        <w:rPr>
          <w:rFonts w:ascii="Times New Roman" w:hAnsi="Times New Roman" w:eastAsia="Calibri" w:cs="Times New Roman"/>
          <w:sz w:val="24"/>
          <w:szCs w:val="24"/>
        </w:rPr>
      </w:pPr>
      <w:bookmarkStart w:id="52" w:name="_Hlk69246514"/>
      <w:bookmarkEnd w:id="52"/>
      <w:r>
        <w:rPr>
          <w:rFonts w:eastAsia="Calibri" w:cs="Times New Roman" w:ascii="Times New Roman" w:hAnsi="Times New Roman"/>
          <w:sz w:val="24"/>
          <w:szCs w:val="24"/>
        </w:rPr>
        <w:t xml:space="preserve">У відповідях на запитання «Визначте три причини, що найбільше заважають розвитку громади» більшу кількість відповідей дорослих отримали: безробіття; недостатня комунікація влади з громадою; поширення злочинності, алкоголізму, наркоманії, насильства. У молоді перші три позиції дещо відрізняються: безробіття; нестача об’єктів відпочинку, забезпечення змістовного дозвілля; поширення злочинності, алкоголізму, наркоманії, насильства. Проблема безробіття/відсутність робочих місць отримала суттєво більшу кількість «голосів» як дорослих, так і молодих респондентів (рис. 8). </w:t>
      </w:r>
    </w:p>
    <w:p>
      <w:pPr>
        <w:pStyle w:val="Normal"/>
        <w:spacing w:lineRule="auto" w:line="240" w:before="120" w:after="0"/>
        <w:ind w:firstLine="709"/>
        <w:jc w:val="both"/>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jc w:val="both"/>
        <w:rPr>
          <w:rFonts w:ascii="Times New Roman" w:hAnsi="Times New Roman" w:eastAsia="Calibri" w:cs="Times New Roman"/>
          <w:sz w:val="24"/>
          <w:szCs w:val="24"/>
        </w:rPr>
      </w:pPr>
      <w:r>
        <w:rPr/>
        <w:drawing>
          <wp:inline distT="0" distB="0" distL="0" distR="0">
            <wp:extent cx="6351905" cy="3209290"/>
            <wp:effectExtent l="0" t="0" r="0" b="0"/>
            <wp:docPr id="16" name="Рисунок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35" descr=""/>
                    <pic:cNvPicPr>
                      <a:picLocks noChangeAspect="1" noChangeArrowheads="1"/>
                    </pic:cNvPicPr>
                  </pic:nvPicPr>
                  <pic:blipFill>
                    <a:blip r:embed="rId10"/>
                    <a:srcRect l="15312" t="17376" r="4343" b="10728"/>
                    <a:stretch>
                      <a:fillRect/>
                    </a:stretch>
                  </pic:blipFill>
                  <pic:spPr bwMode="auto">
                    <a:xfrm>
                      <a:off x="0" y="0"/>
                      <a:ext cx="6351905" cy="3209290"/>
                    </a:xfrm>
                    <a:prstGeom prst="rect">
                      <a:avLst/>
                    </a:prstGeom>
                  </pic:spPr>
                </pic:pic>
              </a:graphicData>
            </a:graphic>
          </wp:inline>
        </w:drawing>
      </w:r>
    </w:p>
    <w:p>
      <w:pPr>
        <w:pStyle w:val="Normal"/>
        <w:spacing w:lineRule="auto" w:line="240" w:before="0" w:after="0"/>
        <w:ind w:firstLine="709"/>
        <w:jc w:val="both"/>
        <w:rPr>
          <w:rFonts w:ascii="Times New Roman" w:hAnsi="Times New Roman" w:eastAsia="Calibri" w:cs="Times New Roman"/>
          <w:sz w:val="24"/>
          <w:szCs w:val="24"/>
        </w:rPr>
      </w:pPr>
      <w:r>
        <w:rPr>
          <w:rFonts w:eastAsia="Calibri" w:cs="Times New Roman" w:ascii="Times New Roman" w:hAnsi="Times New Roman"/>
          <w:sz w:val="24"/>
          <w:szCs w:val="24"/>
        </w:rPr>
        <mc:AlternateContent>
          <mc:Choice Requires="wps">
            <w:drawing>
              <wp:anchor behindDoc="0" distT="0" distB="0" distL="114300" distR="114300" simplePos="0" locked="0" layoutInCell="1" allowOverlap="1" relativeHeight="5">
                <wp:simplePos x="0" y="0"/>
                <wp:positionH relativeFrom="margin">
                  <wp:posOffset>-68580</wp:posOffset>
                </wp:positionH>
                <wp:positionV relativeFrom="paragraph">
                  <wp:posOffset>180340</wp:posOffset>
                </wp:positionV>
                <wp:extent cx="6124575" cy="411480"/>
                <wp:effectExtent l="0" t="0" r="0" b="0"/>
                <wp:wrapSquare wrapText="bothSides"/>
                <wp:docPr id="17" name="Врезка4"/>
                <a:graphic xmlns:a="http://schemas.openxmlformats.org/drawingml/2006/main">
                  <a:graphicData uri="http://schemas.microsoft.com/office/word/2010/wordprocessingShape">
                    <wps:wsp>
                      <wps:cNvSpPr/>
                      <wps:spPr>
                        <a:xfrm>
                          <a:off x="0" y="0"/>
                          <a:ext cx="6123960" cy="410760"/>
                        </a:xfrm>
                        <a:prstGeom prst="rect">
                          <a:avLst/>
                        </a:prstGeom>
                        <a:noFill/>
                        <a:ln>
                          <a:noFill/>
                        </a:ln>
                      </wps:spPr>
                      <wps:style>
                        <a:lnRef idx="0"/>
                        <a:fillRef idx="0"/>
                        <a:effectRef idx="0"/>
                        <a:fontRef idx="minor"/>
                      </wps:style>
                      <wps:txbx>
                        <w:txbxContent>
                          <w:tbl>
                            <w:tblPr>
                              <w:tblW w:w="9640" w:type="dxa"/>
                              <w:jc w:val="left"/>
                              <w:tblInd w:w="108" w:type="dxa"/>
                              <w:tblBorders/>
                              <w:tblCellMar>
                                <w:top w:w="0" w:type="dxa"/>
                                <w:left w:w="108" w:type="dxa"/>
                                <w:bottom w:w="0" w:type="dxa"/>
                                <w:right w:w="108" w:type="dxa"/>
                              </w:tblCellMar>
                              <w:tblLook w:val="01e0" w:noVBand="0" w:noHBand="0" w:firstRow="1" w:lastRow="1" w:firstColumn="1" w:lastColumn="1"/>
                            </w:tblPr>
                            <w:tblGrid>
                              <w:gridCol w:w="9640"/>
                            </w:tblGrid>
                            <w:tr>
                              <w:trPr/>
                              <w:tc>
                                <w:tcPr>
                                  <w:tcW w:w="9640" w:type="dxa"/>
                                  <w:tcBorders/>
                                  <w:shd w:fill="auto" w:val="clear"/>
                                </w:tcPr>
                                <w:p>
                                  <w:pPr>
                                    <w:pStyle w:val="ListParagraph"/>
                                    <w:numPr>
                                      <w:ilvl w:val="0"/>
                                      <w:numId w:val="3"/>
                                    </w:numPr>
                                    <w:tabs>
                                      <w:tab w:val="left" w:pos="1260" w:leader="none"/>
                                    </w:tabs>
                                    <w:spacing w:before="0" w:after="120"/>
                                    <w:rPr/>
                                  </w:pPr>
                                  <w:r>
                                    <w:rPr>
                                      <w:rFonts w:cs="Times New Roman" w:ascii="Times New Roman" w:hAnsi="Times New Roman"/>
                                      <w:b/>
                                      <w:color w:val="1A1A1A" w:themeColor="background1" w:themeShade="1a"/>
                                      <w:sz w:val="24"/>
                                      <w:szCs w:val="24"/>
                                      <w:lang w:val="uk-UA"/>
                                    </w:rPr>
                                    <w:t>Основні проблеми розвитку Каховської громади</w:t>
                                  </w:r>
                                </w:p>
                              </w:tc>
                            </w:tr>
                          </w:tbl>
                          <w:p>
                            <w:pPr>
                              <w:pStyle w:val="Style31"/>
                              <w:spacing w:before="0" w:after="200"/>
                              <w:rPr/>
                            </w:pPr>
                            <w:r>
                              <w:rPr/>
                            </w:r>
                          </w:p>
                        </w:txbxContent>
                      </wps:txbx>
                      <wps:bodyPr lIns="0" rIns="0" tIns="0" bIns="0">
                        <a:spAutoFit/>
                      </wps:bodyPr>
                    </wps:wsp>
                  </a:graphicData>
                </a:graphic>
              </wp:anchor>
            </w:drawing>
          </mc:Choice>
          <mc:Fallback>
            <w:pict>
              <v:rect id="shape_0" ID="Врезка4" stroked="f" style="position:absolute;margin-left:-5.4pt;margin-top:14.2pt;width:482.15pt;height:32.3pt;mso-position-horizontal-relative:margin">
                <w10:wrap type="none"/>
                <v:fill o:detectmouseclick="t" on="false"/>
                <v:stroke color="#3465a4" joinstyle="round" endcap="flat"/>
                <v:textbox>
                  <w:txbxContent>
                    <w:tbl>
                      <w:tblPr>
                        <w:tblW w:w="9640" w:type="dxa"/>
                        <w:jc w:val="left"/>
                        <w:tblInd w:w="108" w:type="dxa"/>
                        <w:tblBorders/>
                        <w:tblCellMar>
                          <w:top w:w="0" w:type="dxa"/>
                          <w:left w:w="108" w:type="dxa"/>
                          <w:bottom w:w="0" w:type="dxa"/>
                          <w:right w:w="108" w:type="dxa"/>
                        </w:tblCellMar>
                        <w:tblLook w:val="01e0" w:noVBand="0" w:noHBand="0" w:firstRow="1" w:lastRow="1" w:firstColumn="1" w:lastColumn="1"/>
                      </w:tblPr>
                      <w:tblGrid>
                        <w:gridCol w:w="9640"/>
                      </w:tblGrid>
                      <w:tr>
                        <w:trPr/>
                        <w:tc>
                          <w:tcPr>
                            <w:tcW w:w="9640" w:type="dxa"/>
                            <w:tcBorders/>
                            <w:shd w:fill="auto" w:val="clear"/>
                          </w:tcPr>
                          <w:p>
                            <w:pPr>
                              <w:pStyle w:val="ListParagraph"/>
                              <w:numPr>
                                <w:ilvl w:val="0"/>
                                <w:numId w:val="3"/>
                              </w:numPr>
                              <w:tabs>
                                <w:tab w:val="left" w:pos="1260" w:leader="none"/>
                              </w:tabs>
                              <w:spacing w:before="0" w:after="120"/>
                              <w:rPr/>
                            </w:pPr>
                            <w:r>
                              <w:rPr>
                                <w:rFonts w:cs="Times New Roman" w:ascii="Times New Roman" w:hAnsi="Times New Roman"/>
                                <w:b/>
                                <w:color w:val="1A1A1A" w:themeColor="background1" w:themeShade="1a"/>
                                <w:sz w:val="24"/>
                                <w:szCs w:val="24"/>
                                <w:lang w:val="uk-UA"/>
                              </w:rPr>
                              <w:t>Основні проблеми розвитку Каховської громади</w:t>
                            </w:r>
                          </w:p>
                        </w:tc>
                      </w:tr>
                    </w:tbl>
                    <w:p>
                      <w:pPr>
                        <w:pStyle w:val="Style31"/>
                        <w:spacing w:before="0" w:after="200"/>
                        <w:rPr/>
                      </w:pPr>
                      <w:r>
                        <w:rPr/>
                      </w:r>
                    </w:p>
                  </w:txbxContent>
                </v:textbox>
              </v:rect>
            </w:pict>
          </mc:Fallback>
        </mc:AlternateContent>
      </w:r>
    </w:p>
    <w:p>
      <w:pPr>
        <w:pStyle w:val="Normal"/>
        <w:spacing w:lineRule="auto" w:line="240" w:before="0" w:after="0"/>
        <w:ind w:firstLine="709"/>
        <w:jc w:val="both"/>
        <w:rPr>
          <w:rFonts w:ascii="Times New Roman" w:hAnsi="Times New Roman" w:eastAsia="Calibri" w:cs="Times New Roman"/>
          <w:sz w:val="24"/>
          <w:szCs w:val="24"/>
        </w:rPr>
      </w:pPr>
      <w:bookmarkStart w:id="53" w:name="_Hlk69246565"/>
      <w:bookmarkEnd w:id="53"/>
      <w:r>
        <w:rPr>
          <w:rFonts w:eastAsia="Calibri" w:cs="Times New Roman" w:ascii="Times New Roman" w:hAnsi="Times New Roman"/>
          <w:sz w:val="24"/>
          <w:szCs w:val="24"/>
        </w:rPr>
        <w:t>Більш чітко виокремлюються проблеми громади, якщо провести аналіз завдань, які мешканці вважають першочерговими (рис. 9). Першу сходинку тут, на думку як дорослих так і молодих мешканці громади, займає збільшення робочих місць та покращення можливостей для самозайнятості. Друге місце теж співпадає – створення умов для започаткуванням і розвитку малого та середнього бізнесу. Третя позиція у дорослих мешканців – забезпечення належного рівня адміністративних, соціальних, медичних та освітніх  послуг, у молоді – розвиток  сфери дозвілля (відпочинку, спорту, культури). З іншої сторони, для обох вікових груп низьку пріоритетність мають завдання з розвитку туризму, підтримки фермерства та сільськогосподарської кооперації, а також покращення водопостачання та водовідведення.</w:t>
      </w:r>
    </w:p>
    <w:p>
      <w:pPr>
        <w:pStyle w:val="Normal"/>
        <w:spacing w:lineRule="auto" w:line="240" w:before="0" w:after="0"/>
        <w:ind w:firstLine="709"/>
        <w:jc w:val="both"/>
        <w:rPr>
          <w:rFonts w:ascii="Times New Roman" w:hAnsi="Times New Roman" w:eastAsia="Calibri" w:cs="Times New Roman"/>
          <w:sz w:val="24"/>
          <w:szCs w:val="24"/>
        </w:rPr>
      </w:pPr>
      <w:r>
        <w:rPr>
          <w:rFonts w:eastAsia="Calibri" w:cs="Times New Roman" w:ascii="Times New Roman" w:hAnsi="Times New Roman"/>
          <w:sz w:val="24"/>
          <w:szCs w:val="24"/>
        </w:rPr>
      </w:r>
    </w:p>
    <w:tbl>
      <w:tblPr>
        <w:tblpPr w:bottomFromText="0" w:horzAnchor="margin" w:leftFromText="180" w:rightFromText="180" w:tblpX="0" w:tblpY="258" w:topFromText="0" w:vertAnchor="text"/>
        <w:tblW w:w="9996" w:type="dxa"/>
        <w:jc w:val="left"/>
        <w:tblInd w:w="108" w:type="dxa"/>
        <w:tblBorders/>
        <w:tblCellMar>
          <w:top w:w="0" w:type="dxa"/>
          <w:left w:w="108" w:type="dxa"/>
          <w:bottom w:w="0" w:type="dxa"/>
          <w:right w:w="108" w:type="dxa"/>
        </w:tblCellMar>
        <w:tblLook w:val="01e0" w:noVBand="0" w:noHBand="0" w:lastColumn="1" w:firstColumn="1" w:lastRow="1" w:firstRow="1"/>
      </w:tblPr>
      <w:tblGrid>
        <w:gridCol w:w="9996"/>
      </w:tblGrid>
      <w:tr>
        <w:trPr/>
        <w:tc>
          <w:tcPr>
            <w:tcW w:w="9996" w:type="dxa"/>
            <w:tcBorders/>
            <w:shd w:fill="auto" w:val="clear"/>
          </w:tcPr>
          <w:p>
            <w:pPr>
              <w:pStyle w:val="Normal"/>
              <w:spacing w:lineRule="auto" w:line="240" w:before="0" w:after="0"/>
              <w:jc w:val="both"/>
              <w:rPr>
                <w:rFonts w:ascii="Times New Roman" w:hAnsi="Times New Roman" w:eastAsia="Calibri" w:cs="Times New Roman"/>
                <w:color w:val="0D0D0D" w:themeColor="text1" w:themeTint="f2"/>
                <w:sz w:val="24"/>
                <w:szCs w:val="24"/>
              </w:rPr>
            </w:pPr>
            <w:bookmarkStart w:id="54" w:name="_Hlk65593824"/>
            <w:bookmarkEnd w:id="54"/>
            <w:r>
              <w:rPr/>
              <w:drawing>
                <wp:inline distT="0" distB="0" distL="0" distR="0">
                  <wp:extent cx="6209030" cy="3255010"/>
                  <wp:effectExtent l="0" t="0" r="0" b="0"/>
                  <wp:docPr id="19"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3" descr=""/>
                          <pic:cNvPicPr>
                            <a:picLocks noChangeAspect="1" noChangeArrowheads="1"/>
                          </pic:cNvPicPr>
                        </pic:nvPicPr>
                        <pic:blipFill>
                          <a:blip r:embed="rId11"/>
                          <a:srcRect l="14067" t="16604" r="6775" b="9921"/>
                          <a:stretch>
                            <a:fillRect/>
                          </a:stretch>
                        </pic:blipFill>
                        <pic:spPr bwMode="auto">
                          <a:xfrm>
                            <a:off x="0" y="0"/>
                            <a:ext cx="6209030" cy="3255010"/>
                          </a:xfrm>
                          <a:prstGeom prst="rect">
                            <a:avLst/>
                          </a:prstGeom>
                        </pic:spPr>
                      </pic:pic>
                    </a:graphicData>
                  </a:graphic>
                </wp:inline>
              </w:drawing>
            </w:r>
          </w:p>
          <w:p>
            <w:pPr>
              <w:pStyle w:val="ListParagraph"/>
              <w:numPr>
                <w:ilvl w:val="0"/>
                <w:numId w:val="3"/>
              </w:numPr>
              <w:tabs>
                <w:tab w:val="left" w:pos="1260" w:leader="none"/>
              </w:tabs>
              <w:spacing w:lineRule="auto" w:line="240" w:before="120" w:after="120"/>
              <w:ind w:left="714" w:hanging="357"/>
              <w:rPr>
                <w:rFonts w:ascii="Times New Roman" w:hAnsi="Times New Roman" w:cs="Times New Roman"/>
                <w:b/>
                <w:b/>
                <w:color w:val="1A1A1A" w:themeColor="background1" w:themeShade="1a"/>
                <w:sz w:val="24"/>
                <w:szCs w:val="24"/>
                <w:lang w:val="uk-UA"/>
              </w:rPr>
            </w:pPr>
            <w:r>
              <w:rPr>
                <w:rFonts w:cs="Times New Roman" w:ascii="Times New Roman" w:hAnsi="Times New Roman"/>
                <w:b/>
                <w:color w:val="1A1A1A" w:themeColor="background1" w:themeShade="1a"/>
                <w:sz w:val="24"/>
                <w:szCs w:val="24"/>
                <w:lang w:val="uk-UA"/>
              </w:rPr>
              <w:t>Рейтинг основних завдань для розвитку Каховської громади</w:t>
            </w:r>
          </w:p>
        </w:tc>
      </w:tr>
    </w:tbl>
    <w:p>
      <w:pPr>
        <w:pStyle w:val="Normal"/>
        <w:spacing w:lineRule="auto" w:line="240" w:before="120" w:after="0"/>
        <w:ind w:firstLine="709"/>
        <w:jc w:val="both"/>
        <w:rPr>
          <w:rFonts w:ascii="Times New Roman" w:hAnsi="Times New Roman" w:eastAsia="Calibri" w:cs="Times New Roman"/>
          <w:sz w:val="24"/>
          <w:szCs w:val="24"/>
        </w:rPr>
      </w:pPr>
      <w:r>
        <w:rPr>
          <w:rFonts w:eastAsia="Calibri" w:cs="Times New Roman" w:ascii="Times New Roman" w:hAnsi="Times New Roman"/>
          <w:sz w:val="24"/>
          <w:szCs w:val="24"/>
        </w:rPr>
        <w:t>Таким чином, результати соціально-економічного аналізу Каховської громади чітко демонструють наявність декількох проблем, які найбільш суттєво впливають на розвиток громади:</w:t>
      </w:r>
    </w:p>
    <w:p>
      <w:pPr>
        <w:pStyle w:val="Normal"/>
        <w:spacing w:lineRule="auto" w:line="240" w:before="0" w:after="0"/>
        <w:jc w:val="both"/>
        <w:rPr>
          <w:rFonts w:ascii="Times New Roman" w:hAnsi="Times New Roman" w:eastAsia="Calibri" w:cs="Times New Roman"/>
          <w:sz w:val="24"/>
          <w:szCs w:val="24"/>
        </w:rPr>
      </w:pPr>
      <w:r>
        <w:rPr>
          <w:rFonts w:eastAsia="Calibri" w:cs="Times New Roman" w:ascii="Times New Roman" w:hAnsi="Times New Roman"/>
          <w:sz w:val="24"/>
          <w:szCs w:val="24"/>
        </w:rPr>
        <w:t>- брак робочих місць на підприємствах громади;</w:t>
      </w:r>
    </w:p>
    <w:p>
      <w:pPr>
        <w:pStyle w:val="Normal"/>
        <w:spacing w:lineRule="auto" w:line="240" w:before="0" w:after="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 недостатня комунікація влади з громадою, </w:t>
      </w:r>
    </w:p>
    <w:p>
      <w:pPr>
        <w:pStyle w:val="Normal"/>
        <w:spacing w:lineRule="auto" w:line="240" w:before="0" w:after="0"/>
        <w:jc w:val="both"/>
        <w:rPr>
          <w:rFonts w:ascii="Times New Roman" w:hAnsi="Times New Roman" w:eastAsia="Calibri" w:cs="Times New Roman"/>
          <w:sz w:val="24"/>
          <w:szCs w:val="24"/>
        </w:rPr>
      </w:pPr>
      <w:r>
        <w:rPr>
          <w:rFonts w:eastAsia="Calibri" w:cs="Times New Roman" w:ascii="Times New Roman" w:hAnsi="Times New Roman"/>
          <w:sz w:val="24"/>
          <w:szCs w:val="24"/>
        </w:rPr>
        <w:t>- поширення злочинності, алкоголізму, наркоманії, насильства,</w:t>
      </w:r>
    </w:p>
    <w:p>
      <w:pPr>
        <w:pStyle w:val="Normal"/>
        <w:spacing w:lineRule="auto" w:line="240" w:before="0" w:after="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 нестача об’єктів відпочинку, змістовного дозвілля, </w:t>
      </w:r>
    </w:p>
    <w:p>
      <w:pPr>
        <w:pStyle w:val="Normal"/>
        <w:spacing w:lineRule="auto" w:line="240" w:before="0" w:after="0"/>
        <w:jc w:val="both"/>
        <w:rPr>
          <w:rFonts w:ascii="Times New Roman" w:hAnsi="Times New Roman" w:eastAsia="Calibri" w:cs="Times New Roman"/>
          <w:sz w:val="24"/>
          <w:szCs w:val="24"/>
        </w:rPr>
      </w:pPr>
      <w:r>
        <w:rPr>
          <w:rFonts w:eastAsia="Calibri" w:cs="Times New Roman" w:ascii="Times New Roman" w:hAnsi="Times New Roman"/>
          <w:sz w:val="24"/>
          <w:szCs w:val="24"/>
        </w:rPr>
        <w:t>- незадовільний стан дорожньої інфраструктури.</w:t>
      </w:r>
    </w:p>
    <w:p>
      <w:pPr>
        <w:pStyle w:val="Normal"/>
        <w:spacing w:lineRule="auto" w:line="240" w:before="0" w:after="0"/>
        <w:ind w:left="142" w:hanging="142"/>
        <w:jc w:val="both"/>
        <w:rPr>
          <w:rFonts w:ascii="Times New Roman" w:hAnsi="Times New Roman" w:eastAsia="Calibri" w:cs="Times New Roman"/>
          <w:sz w:val="24"/>
          <w:szCs w:val="24"/>
        </w:rPr>
      </w:pPr>
      <w:bookmarkStart w:id="55" w:name="_Hlk69252676"/>
      <w:bookmarkEnd w:id="55"/>
      <w:r>
        <w:rPr>
          <w:rFonts w:eastAsia="Calibri" w:cs="Times New Roman" w:ascii="Times New Roman" w:hAnsi="Times New Roman"/>
          <w:sz w:val="24"/>
          <w:szCs w:val="24"/>
        </w:rPr>
        <w:t>- «соціальна» завантаженість місцевого бюджету, у якому суттєву частину витрат (понад 85%) займає фінансування освіти, медицини, культури, соціальних послуг тощо.</w:t>
      </w:r>
    </w:p>
    <w:p>
      <w:pPr>
        <w:pStyle w:val="Normal"/>
        <w:spacing w:lineRule="auto" w:line="240" w:before="120" w:after="0"/>
        <w:ind w:firstLine="709"/>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Водночас, Каховська територіальна громада має низку сильних сторін, які можуть бути використані для соціально-економічного розвитку. Перш за все, це розвинута промисловість, наявність вантажного та пасажирського залізничного сполучення, розташування на автошляхах М-14 та Р-47, практика проведення масштабних туристичних подій. </w:t>
      </w:r>
    </w:p>
    <w:p>
      <w:pPr>
        <w:pStyle w:val="Normal"/>
        <w:spacing w:lineRule="auto" w:line="240" w:before="0" w:after="0"/>
        <w:ind w:firstLine="709"/>
        <w:jc w:val="both"/>
        <w:rPr>
          <w:rFonts w:ascii="Times New Roman" w:hAnsi="Times New Roman" w:eastAsia="Calibri" w:cs="Times New Roman"/>
          <w:color w:val="0D0D0D" w:themeColor="text1" w:themeTint="f2"/>
          <w:sz w:val="24"/>
          <w:szCs w:val="24"/>
        </w:rPr>
      </w:pPr>
      <w:r>
        <w:rPr>
          <w:rFonts w:eastAsia="Calibri" w:cs="Times New Roman" w:ascii="Times New Roman" w:hAnsi="Times New Roman"/>
          <w:color w:val="0D0D0D" w:themeColor="text1" w:themeTint="f2"/>
          <w:sz w:val="24"/>
          <w:szCs w:val="24"/>
        </w:rPr>
      </w:r>
    </w:p>
    <w:p>
      <w:pPr>
        <w:pStyle w:val="Normal"/>
        <w:keepNext/>
        <w:keepLines/>
        <w:numPr>
          <w:ilvl w:val="0"/>
          <w:numId w:val="0"/>
        </w:numPr>
        <w:tabs>
          <w:tab w:val="left" w:pos="567" w:leader="none"/>
        </w:tabs>
        <w:spacing w:lineRule="auto" w:line="240" w:before="0" w:after="120"/>
        <w:outlineLvl w:val="1"/>
        <w:rPr>
          <w:rFonts w:ascii="Times New Roman" w:hAnsi="Times New Roman" w:eastAsia="Times New Roman" w:cs="Times New Roman"/>
          <w:b/>
          <w:b/>
          <w:bCs/>
          <w:color w:val="1A1A1A"/>
          <w:sz w:val="24"/>
          <w:szCs w:val="24"/>
        </w:rPr>
      </w:pPr>
      <w:bookmarkStart w:id="56" w:name="_Toc84967175"/>
      <w:bookmarkStart w:id="57" w:name="_Hlk655939221"/>
      <w:bookmarkStart w:id="58" w:name="_Hlk655948991"/>
      <w:bookmarkEnd w:id="56"/>
      <w:bookmarkEnd w:id="57"/>
      <w:bookmarkEnd w:id="58"/>
      <w:r>
        <w:rPr>
          <w:rFonts w:eastAsia="Times New Roman" w:cs="Times New Roman" w:ascii="Times New Roman" w:hAnsi="Times New Roman"/>
          <w:b/>
          <w:bCs/>
          <w:color w:val="1A1A1A"/>
          <w:sz w:val="24"/>
          <w:szCs w:val="24"/>
        </w:rPr>
        <w:t>2. Аналіз сильних і слабких сторін територіальної громади, можливостей і загроз</w:t>
      </w:r>
    </w:p>
    <w:p>
      <w:pPr>
        <w:pStyle w:val="Normal"/>
        <w:spacing w:lineRule="auto" w:line="240" w:before="0" w:after="0"/>
        <w:ind w:firstLine="709"/>
        <w:jc w:val="both"/>
        <w:rPr>
          <w:rFonts w:ascii="Times New Roman" w:hAnsi="Times New Roman" w:eastAsia="Calibri" w:cs="Times New Roman"/>
          <w:color w:val="0D0D0D" w:themeColor="text1" w:themeTint="f2"/>
          <w:sz w:val="24"/>
          <w:szCs w:val="24"/>
        </w:rPr>
      </w:pPr>
      <w:r>
        <w:rPr>
          <w:rFonts w:eastAsia="Calibri" w:cs="Times New Roman" w:ascii="Times New Roman" w:hAnsi="Times New Roman"/>
          <w:color w:val="0D0D0D" w:themeColor="text1" w:themeTint="f2"/>
          <w:sz w:val="24"/>
          <w:szCs w:val="24"/>
        </w:rPr>
        <w:t>Визначення та оцінка порівняльних переваг, викликів та ризиків перспективного розвитку Каховської територіальної громади здійснюється на основі оцінки стартових умов місцевого розвитку шляхом SWOT-аналізу.</w:t>
      </w:r>
    </w:p>
    <w:p>
      <w:pPr>
        <w:pStyle w:val="Normal"/>
        <w:spacing w:lineRule="auto" w:line="240" w:before="0" w:after="0"/>
        <w:ind w:firstLine="709"/>
        <w:jc w:val="both"/>
        <w:rPr>
          <w:rFonts w:ascii="Times New Roman" w:hAnsi="Times New Roman" w:eastAsia="Calibri" w:cs="Times New Roman"/>
          <w:color w:val="0D0D0D" w:themeColor="text1" w:themeTint="f2"/>
          <w:sz w:val="24"/>
          <w:szCs w:val="24"/>
        </w:rPr>
      </w:pPr>
      <w:r>
        <w:rPr>
          <w:rFonts w:eastAsia="Calibri" w:cs="Times New Roman" w:ascii="Times New Roman" w:hAnsi="Times New Roman"/>
          <w:color w:val="0D0D0D" w:themeColor="text1" w:themeTint="f2"/>
          <w:sz w:val="24"/>
          <w:szCs w:val="24"/>
        </w:rPr>
        <w:t xml:space="preserve">SWOT-аналіз проводиться для встановлення зв’язку між внутрішніми (сильними і слабкими сторонами) та зовнішніми (можливостями і загрозами) факторами, що мають стратегічне значення для розвитку територіальної громади. </w:t>
      </w:r>
    </w:p>
    <w:p>
      <w:pPr>
        <w:pStyle w:val="2"/>
        <w:spacing w:before="120" w:after="120"/>
        <w:ind w:left="284" w:hanging="0"/>
        <w:rPr>
          <w:rFonts w:ascii="Times New Roman" w:hAnsi="Times New Roman" w:cs="Times New Roman"/>
          <w:szCs w:val="24"/>
        </w:rPr>
      </w:pPr>
      <w:bookmarkStart w:id="59" w:name="_Toc84967176"/>
      <w:bookmarkEnd w:id="59"/>
      <w:r>
        <w:rPr>
          <w:rFonts w:cs="Times New Roman" w:ascii="Times New Roman" w:hAnsi="Times New Roman"/>
          <w:szCs w:val="24"/>
        </w:rPr>
        <w:t>2.1. SWOT-аналіз Каховської громади</w:t>
      </w:r>
    </w:p>
    <w:p>
      <w:pPr>
        <w:pStyle w:val="Normal"/>
        <w:spacing w:lineRule="auto" w:line="240" w:before="0" w:after="0"/>
        <w:ind w:firstLine="709"/>
        <w:jc w:val="both"/>
        <w:rPr>
          <w:rFonts w:ascii="Times New Roman" w:hAnsi="Times New Roman" w:eastAsia="Calibri" w:cs="Times New Roman"/>
          <w:color w:val="0D0D0D" w:themeColor="text1" w:themeTint="f2"/>
          <w:sz w:val="24"/>
          <w:szCs w:val="24"/>
        </w:rPr>
      </w:pPr>
      <w:r>
        <w:rPr>
          <w:rFonts w:eastAsia="Calibri" w:cs="Times New Roman" w:ascii="Times New Roman" w:hAnsi="Times New Roman"/>
          <w:color w:val="0D0D0D" w:themeColor="text1" w:themeTint="f2"/>
          <w:sz w:val="24"/>
          <w:szCs w:val="24"/>
        </w:rPr>
        <w:t>SWOT-аналіз, один із найпоширеніших видів аналізу, який дозволяє об’єктивно оцінити сучасний стан громади, її сильні сторони, які найбільше сприятимуть розвиткові, визначити ресурси для подолання слабких сторін, або перетворення їх на сильні, виявити можливості та попередньо оцінити існуючі загрози та шляхи їх уникнення.</w:t>
      </w:r>
    </w:p>
    <w:p>
      <w:pPr>
        <w:pStyle w:val="Normal"/>
        <w:spacing w:lineRule="auto" w:line="240" w:before="0" w:after="0"/>
        <w:ind w:firstLine="709"/>
        <w:jc w:val="both"/>
        <w:rPr>
          <w:rFonts w:ascii="Times New Roman" w:hAnsi="Times New Roman" w:eastAsia="Calibri" w:cs="Times New Roman"/>
          <w:color w:val="0D0D0D" w:themeColor="text1" w:themeTint="f2"/>
          <w:sz w:val="24"/>
          <w:szCs w:val="24"/>
        </w:rPr>
      </w:pPr>
      <w:r>
        <w:rPr>
          <w:rFonts w:eastAsia="Calibri" w:cs="Times New Roman" w:ascii="Times New Roman" w:hAnsi="Times New Roman"/>
          <w:color w:val="0D0D0D" w:themeColor="text1" w:themeTint="f2"/>
          <w:sz w:val="24"/>
          <w:szCs w:val="24"/>
        </w:rPr>
      </w:r>
    </w:p>
    <w:p>
      <w:pPr>
        <w:pStyle w:val="TableTitle"/>
        <w:numPr>
          <w:ilvl w:val="0"/>
          <w:numId w:val="2"/>
        </w:numPr>
        <w:ind w:left="714" w:hanging="357"/>
        <w:rPr/>
      </w:pPr>
      <w:bookmarkStart w:id="60" w:name="_Toc84967204"/>
      <w:bookmarkEnd w:id="60"/>
      <w:r>
        <w:rPr/>
        <w:t>SWOT-матриця Каховської громади</w:t>
      </w:r>
    </w:p>
    <w:p>
      <w:pPr>
        <w:pStyle w:val="Normal"/>
        <w:spacing w:lineRule="auto" w:line="240" w:before="0" w:after="120"/>
        <w:jc w:val="both"/>
        <w:rPr>
          <w:rFonts w:ascii="Times New Roman" w:hAnsi="Times New Roman" w:cs="Times New Roman"/>
        </w:rPr>
      </w:pPr>
      <w:r>
        <w:rPr>
          <w:rFonts w:cs="Times New Roman" w:ascii="Times New Roman" w:hAnsi="Times New Roman"/>
        </w:rPr>
        <w:t>(за результатами засідання Робочої групи 15 квітня 2021 року)</w:t>
      </w:r>
    </w:p>
    <w:tbl>
      <w:tblPr>
        <w:tblW w:w="10491" w:type="dxa"/>
        <w:jc w:val="left"/>
        <w:tblInd w:w="-142" w:type="dxa"/>
        <w:tblBorders>
          <w:top w:val="single" w:sz="8" w:space="0" w:color="000001"/>
          <w:bottom w:val="single" w:sz="8" w:space="0" w:color="000001"/>
          <w:right w:val="single" w:sz="8" w:space="0" w:color="000001"/>
          <w:insideH w:val="single" w:sz="8" w:space="0" w:color="000001"/>
          <w:insideV w:val="single" w:sz="8" w:space="0" w:color="000001"/>
        </w:tblBorders>
        <w:tblCellMar>
          <w:top w:w="15" w:type="dxa"/>
          <w:left w:w="68" w:type="dxa"/>
          <w:bottom w:w="0" w:type="dxa"/>
          <w:right w:w="68" w:type="dxa"/>
        </w:tblCellMar>
        <w:tblLook w:val="04a0" w:noVBand="1" w:noHBand="0" w:lastColumn="0" w:firstColumn="1" w:lastRow="0" w:firstRow="1"/>
      </w:tblPr>
      <w:tblGrid>
        <w:gridCol w:w="5528"/>
        <w:gridCol w:w="4962"/>
      </w:tblGrid>
      <w:tr>
        <w:trPr>
          <w:trHeight w:val="208" w:hRule="atLeast"/>
        </w:trPr>
        <w:tc>
          <w:tcPr>
            <w:tcW w:w="5528" w:type="dxa"/>
            <w:tcBorders>
              <w:top w:val="single" w:sz="8" w:space="0" w:color="000001"/>
              <w:bottom w:val="single" w:sz="8" w:space="0" w:color="000001"/>
              <w:right w:val="single" w:sz="8" w:space="0" w:color="000001"/>
              <w:insideH w:val="single" w:sz="8" w:space="0" w:color="000001"/>
              <w:insideV w:val="single" w:sz="8" w:space="0" w:color="000001"/>
            </w:tcBorders>
            <w:shd w:color="auto" w:fill="B4C6E7" w:val="clear"/>
          </w:tcPr>
          <w:p>
            <w:pPr>
              <w:pStyle w:val="Normal"/>
              <w:tabs>
                <w:tab w:val="left" w:pos="2495" w:leader="none"/>
              </w:tabs>
              <w:spacing w:lineRule="auto" w:line="240" w:before="0" w:after="0"/>
              <w:jc w:val="center"/>
              <w:rPr>
                <w:rFonts w:ascii="Times New Roman" w:hAnsi="Times New Roman" w:eastAsia="Calibri" w:cs="Times New Roman"/>
                <w:color w:val="00000A"/>
              </w:rPr>
            </w:pPr>
            <w:r>
              <w:rPr>
                <w:rFonts w:eastAsia="Calibri" w:cs="Times New Roman" w:ascii="Times New Roman" w:hAnsi="Times New Roman"/>
                <w:b/>
                <w:bCs/>
                <w:color w:val="00000A"/>
                <w:sz w:val="24"/>
                <w:szCs w:val="24"/>
              </w:rPr>
              <w:t>Сильні сторони (S)</w:t>
            </w:r>
          </w:p>
        </w:tc>
        <w:tc>
          <w:tcPr>
            <w:tcW w:w="496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E599" w:val="clear"/>
            <w:tcMar>
              <w:left w:w="-10" w:type="dxa"/>
            </w:tcMar>
          </w:tcPr>
          <w:p>
            <w:pPr>
              <w:pStyle w:val="Normal"/>
              <w:tabs>
                <w:tab w:val="left" w:pos="2495" w:leader="none"/>
              </w:tabs>
              <w:spacing w:lineRule="auto" w:line="240" w:before="0" w:after="0"/>
              <w:jc w:val="center"/>
              <w:rPr>
                <w:rFonts w:ascii="Times New Roman" w:hAnsi="Times New Roman" w:eastAsia="Calibri" w:cs="Times New Roman"/>
                <w:color w:val="00000A"/>
              </w:rPr>
            </w:pPr>
            <w:r>
              <w:rPr>
                <w:rFonts w:eastAsia="Calibri" w:cs="Times New Roman" w:ascii="Times New Roman" w:hAnsi="Times New Roman"/>
                <w:b/>
                <w:bCs/>
                <w:color w:val="00000A"/>
                <w:sz w:val="24"/>
                <w:szCs w:val="24"/>
              </w:rPr>
              <w:t>Слабкі сторони (W)</w:t>
            </w:r>
          </w:p>
        </w:tc>
      </w:tr>
      <w:tr>
        <w:trPr>
          <w:trHeight w:val="4241" w:hRule="atLeast"/>
        </w:trPr>
        <w:tc>
          <w:tcPr>
            <w:tcW w:w="5528" w:type="dxa"/>
            <w:tcBorders>
              <w:top w:val="single" w:sz="8" w:space="0" w:color="000001"/>
              <w:bottom w:val="single" w:sz="8" w:space="0" w:color="000001"/>
              <w:right w:val="single" w:sz="8" w:space="0" w:color="000001"/>
              <w:insideH w:val="single" w:sz="8" w:space="0" w:color="000001"/>
              <w:insideV w:val="single" w:sz="8" w:space="0" w:color="000001"/>
            </w:tcBorders>
            <w:shd w:color="auto" w:fill="auto" w:val="clear"/>
          </w:tcPr>
          <w:p>
            <w:pPr>
              <w:pStyle w:val="Normal"/>
              <w:numPr>
                <w:ilvl w:val="0"/>
                <w:numId w:val="15"/>
              </w:numPr>
              <w:tabs>
                <w:tab w:val="left" w:pos="2495" w:leader="none"/>
              </w:tabs>
              <w:spacing w:lineRule="auto" w:line="240" w:before="0" w:after="0"/>
              <w:ind w:left="209" w:hanging="209"/>
              <w:jc w:val="both"/>
              <w:rPr>
                <w:rFonts w:ascii="Times New Roman" w:hAnsi="Times New Roman" w:eastAsia="Calibri" w:cs="Times New Roman"/>
                <w:color w:val="00000A"/>
              </w:rPr>
            </w:pPr>
            <w:r>
              <w:rPr>
                <w:rFonts w:eastAsia="Calibri" w:cs="Times New Roman" w:ascii="Times New Roman" w:hAnsi="Times New Roman"/>
                <w:color w:val="00000A"/>
              </w:rPr>
              <w:t>1.Залізничне сполучення (9 км до станції Каховка, вантажні та пасажирські потяги).</w:t>
            </w:r>
          </w:p>
          <w:p>
            <w:pPr>
              <w:pStyle w:val="Normal"/>
              <w:numPr>
                <w:ilvl w:val="0"/>
                <w:numId w:val="15"/>
              </w:numPr>
              <w:tabs>
                <w:tab w:val="left" w:pos="2495" w:leader="none"/>
              </w:tabs>
              <w:spacing w:lineRule="auto" w:line="240" w:before="0" w:after="0"/>
              <w:ind w:left="209" w:hanging="209"/>
              <w:jc w:val="both"/>
              <w:rPr>
                <w:rFonts w:ascii="Times New Roman" w:hAnsi="Times New Roman" w:eastAsia="Calibri" w:cs="Times New Roman"/>
                <w:color w:val="00000A"/>
              </w:rPr>
            </w:pPr>
            <w:r>
              <w:rPr>
                <w:rFonts w:eastAsia="Calibri" w:cs="Times New Roman" w:ascii="Times New Roman" w:hAnsi="Times New Roman"/>
                <w:color w:val="00000A"/>
              </w:rPr>
              <w:t>2. Через територію громади проходять автошляхи М-14 Одеса-Новоазовськ та Р-47 Херсон-Генічеськ.</w:t>
            </w:r>
          </w:p>
          <w:p>
            <w:pPr>
              <w:pStyle w:val="Normal"/>
              <w:numPr>
                <w:ilvl w:val="0"/>
                <w:numId w:val="15"/>
              </w:numPr>
              <w:tabs>
                <w:tab w:val="left" w:pos="2495" w:leader="none"/>
              </w:tabs>
              <w:spacing w:lineRule="auto" w:line="240" w:before="0" w:after="0"/>
              <w:ind w:left="209" w:hanging="209"/>
              <w:jc w:val="both"/>
              <w:rPr>
                <w:rFonts w:ascii="Times New Roman" w:hAnsi="Times New Roman" w:eastAsia="Calibri" w:cs="Times New Roman"/>
                <w:color w:val="00000A"/>
              </w:rPr>
            </w:pPr>
            <w:r>
              <w:rPr>
                <w:rFonts w:eastAsia="Calibri" w:cs="Times New Roman" w:ascii="Times New Roman" w:hAnsi="Times New Roman"/>
                <w:color w:val="00000A"/>
              </w:rPr>
              <w:t>3. Вигідне розташування на лівому березі Каховського водосховища, потенціал рекреації.</w:t>
            </w:r>
          </w:p>
          <w:p>
            <w:pPr>
              <w:pStyle w:val="Normal"/>
              <w:numPr>
                <w:ilvl w:val="0"/>
                <w:numId w:val="15"/>
              </w:numPr>
              <w:tabs>
                <w:tab w:val="left" w:pos="2495" w:leader="none"/>
              </w:tabs>
              <w:spacing w:lineRule="auto" w:line="240" w:before="0" w:after="0"/>
              <w:ind w:left="209" w:hanging="209"/>
              <w:jc w:val="both"/>
              <w:rPr>
                <w:rFonts w:ascii="Times New Roman" w:hAnsi="Times New Roman" w:eastAsia="Calibri" w:cs="Times New Roman"/>
                <w:color w:val="00000A"/>
              </w:rPr>
            </w:pPr>
            <w:r>
              <w:rPr>
                <w:rFonts w:eastAsia="Calibri" w:cs="Times New Roman" w:ascii="Times New Roman" w:hAnsi="Times New Roman"/>
                <w:color w:val="00000A"/>
              </w:rPr>
              <w:t>4. Історична традиція промислового виробництва, річкових перевезень, виноробства, зрошуваного сільського господарства, торгівлі.</w:t>
            </w:r>
          </w:p>
          <w:p>
            <w:pPr>
              <w:pStyle w:val="Normal"/>
              <w:numPr>
                <w:ilvl w:val="0"/>
                <w:numId w:val="15"/>
              </w:numPr>
              <w:tabs>
                <w:tab w:val="left" w:pos="2495" w:leader="none"/>
              </w:tabs>
              <w:spacing w:lineRule="auto" w:line="240" w:before="0" w:after="0"/>
              <w:ind w:left="209" w:hanging="209"/>
              <w:jc w:val="both"/>
              <w:rPr>
                <w:rFonts w:ascii="Times New Roman" w:hAnsi="Times New Roman" w:eastAsia="Calibri" w:cs="Times New Roman"/>
                <w:color w:val="00000A"/>
              </w:rPr>
            </w:pPr>
            <w:r>
              <w:rPr>
                <w:rFonts w:eastAsia="Calibri" w:cs="Times New Roman" w:ascii="Times New Roman" w:hAnsi="Times New Roman"/>
                <w:color w:val="00000A"/>
              </w:rPr>
              <w:t>5. Значні запаси прісних підземних вод, в т.ч. мінеральних (мін. вода «Каховка»).</w:t>
            </w:r>
          </w:p>
          <w:p>
            <w:pPr>
              <w:pStyle w:val="Normal"/>
              <w:numPr>
                <w:ilvl w:val="0"/>
                <w:numId w:val="15"/>
              </w:numPr>
              <w:tabs>
                <w:tab w:val="left" w:pos="2495" w:leader="none"/>
              </w:tabs>
              <w:spacing w:lineRule="auto" w:line="240" w:before="0" w:after="0"/>
              <w:ind w:left="209" w:hanging="209"/>
              <w:jc w:val="both"/>
              <w:rPr>
                <w:rFonts w:ascii="Times New Roman" w:hAnsi="Times New Roman" w:eastAsia="Calibri" w:cs="Times New Roman"/>
                <w:color w:val="00000A"/>
              </w:rPr>
            </w:pPr>
            <w:r>
              <w:rPr>
                <w:rFonts w:eastAsia="Calibri" w:cs="Times New Roman" w:ascii="Times New Roman" w:hAnsi="Times New Roman"/>
                <w:color w:val="00000A"/>
              </w:rPr>
              <w:t>6. Ресурс земель для аграрного виробництва (12 тис. га, в т.ч. 8 тис.га під зрошенням).</w:t>
            </w:r>
          </w:p>
          <w:p>
            <w:pPr>
              <w:pStyle w:val="Normal"/>
              <w:numPr>
                <w:ilvl w:val="0"/>
                <w:numId w:val="15"/>
              </w:numPr>
              <w:tabs>
                <w:tab w:val="left" w:pos="2495" w:leader="none"/>
              </w:tabs>
              <w:spacing w:lineRule="auto" w:line="240" w:before="0" w:after="0"/>
              <w:ind w:left="209" w:hanging="209"/>
              <w:jc w:val="both"/>
              <w:rPr>
                <w:rFonts w:ascii="Times New Roman" w:hAnsi="Times New Roman" w:eastAsia="Calibri" w:cs="Times New Roman"/>
                <w:color w:val="00000A"/>
              </w:rPr>
            </w:pPr>
            <w:r>
              <w:rPr>
                <w:rFonts w:eastAsia="Calibri" w:cs="Times New Roman" w:ascii="Times New Roman" w:hAnsi="Times New Roman"/>
                <w:color w:val="00000A"/>
              </w:rPr>
              <w:t>7. Найбільша в Європі меліоративна система.</w:t>
            </w:r>
          </w:p>
          <w:p>
            <w:pPr>
              <w:pStyle w:val="Normal"/>
              <w:numPr>
                <w:ilvl w:val="0"/>
                <w:numId w:val="15"/>
              </w:numPr>
              <w:tabs>
                <w:tab w:val="left" w:pos="2495" w:leader="none"/>
              </w:tabs>
              <w:spacing w:lineRule="auto" w:line="240" w:before="0" w:after="0"/>
              <w:ind w:left="209" w:hanging="209"/>
              <w:jc w:val="both"/>
              <w:rPr>
                <w:rFonts w:ascii="Times New Roman" w:hAnsi="Times New Roman" w:eastAsia="Calibri" w:cs="Times New Roman"/>
                <w:color w:val="00000A"/>
              </w:rPr>
            </w:pPr>
            <w:r>
              <w:rPr>
                <w:rFonts w:eastAsia="Calibri" w:cs="Times New Roman" w:ascii="Times New Roman" w:hAnsi="Times New Roman"/>
                <w:color w:val="00000A"/>
              </w:rPr>
              <w:t>8. Високий рівень середньої освіти (Каховська гімназія – 2 місце в області, ще три школи серед 50 кращих шкіл).</w:t>
            </w:r>
          </w:p>
          <w:p>
            <w:pPr>
              <w:pStyle w:val="Normal"/>
              <w:numPr>
                <w:ilvl w:val="0"/>
                <w:numId w:val="15"/>
              </w:numPr>
              <w:tabs>
                <w:tab w:val="left" w:pos="2495" w:leader="none"/>
              </w:tabs>
              <w:spacing w:lineRule="auto" w:line="240" w:before="0" w:after="0"/>
              <w:ind w:left="209" w:hanging="209"/>
              <w:jc w:val="both"/>
              <w:rPr>
                <w:rFonts w:ascii="Times New Roman" w:hAnsi="Times New Roman" w:eastAsia="Calibri" w:cs="Times New Roman"/>
                <w:color w:val="00000A"/>
              </w:rPr>
            </w:pPr>
            <w:r>
              <w:rPr>
                <w:rFonts w:eastAsia="Calibri" w:cs="Times New Roman" w:ascii="Times New Roman" w:hAnsi="Times New Roman"/>
                <w:color w:val="00000A"/>
              </w:rPr>
              <w:t>9. Наявність професійної освіти (агротехнічний коледж, ліцей сфери послуг).</w:t>
            </w:r>
          </w:p>
          <w:p>
            <w:pPr>
              <w:pStyle w:val="Normal"/>
              <w:numPr>
                <w:ilvl w:val="0"/>
                <w:numId w:val="15"/>
              </w:numPr>
              <w:tabs>
                <w:tab w:val="left" w:pos="2495" w:leader="none"/>
              </w:tabs>
              <w:spacing w:lineRule="auto" w:line="240" w:before="0" w:after="0"/>
              <w:ind w:left="209" w:hanging="209"/>
              <w:jc w:val="both"/>
              <w:rPr>
                <w:rFonts w:ascii="Times New Roman" w:hAnsi="Times New Roman" w:eastAsia="Calibri" w:cs="Times New Roman"/>
                <w:color w:val="00000A"/>
              </w:rPr>
            </w:pPr>
            <w:r>
              <w:rPr>
                <w:rFonts w:eastAsia="Calibri" w:cs="Times New Roman" w:ascii="Times New Roman" w:hAnsi="Times New Roman"/>
                <w:color w:val="00000A"/>
              </w:rPr>
              <w:t>10.Активні громадські організації, в т.ч. молодіжні, козацькі.</w:t>
            </w:r>
          </w:p>
          <w:p>
            <w:pPr>
              <w:pStyle w:val="Normal"/>
              <w:numPr>
                <w:ilvl w:val="0"/>
                <w:numId w:val="15"/>
              </w:numPr>
              <w:tabs>
                <w:tab w:val="left" w:pos="2495" w:leader="none"/>
              </w:tabs>
              <w:spacing w:lineRule="auto" w:line="240" w:before="0" w:after="0"/>
              <w:ind w:left="209" w:hanging="209"/>
              <w:jc w:val="both"/>
              <w:rPr>
                <w:rFonts w:ascii="Times New Roman" w:hAnsi="Times New Roman" w:eastAsia="Calibri" w:cs="Times New Roman"/>
                <w:color w:val="00000A"/>
              </w:rPr>
            </w:pPr>
            <w:r>
              <w:rPr>
                <w:rFonts w:eastAsia="Calibri" w:cs="Times New Roman" w:ascii="Times New Roman" w:hAnsi="Times New Roman"/>
                <w:color w:val="00000A"/>
              </w:rPr>
              <w:t>11.Функціонує ЦНАП, 144 адмін. послуги, впроваджена система «Вулик».</w:t>
            </w:r>
          </w:p>
          <w:p>
            <w:pPr>
              <w:pStyle w:val="Normal"/>
              <w:numPr>
                <w:ilvl w:val="0"/>
                <w:numId w:val="15"/>
              </w:numPr>
              <w:tabs>
                <w:tab w:val="left" w:pos="2495" w:leader="none"/>
              </w:tabs>
              <w:spacing w:lineRule="auto" w:line="240" w:before="0" w:after="0"/>
              <w:ind w:left="209" w:hanging="209"/>
              <w:jc w:val="both"/>
              <w:rPr>
                <w:rFonts w:ascii="Times New Roman" w:hAnsi="Times New Roman" w:eastAsia="Calibri" w:cs="Times New Roman"/>
                <w:color w:val="00000A"/>
              </w:rPr>
            </w:pPr>
            <w:r>
              <w:rPr>
                <w:rFonts w:eastAsia="Calibri" w:cs="Times New Roman" w:ascii="Times New Roman" w:hAnsi="Times New Roman"/>
                <w:color w:val="00000A"/>
              </w:rPr>
              <w:t>12.Наявні потужні промислові підприємства («Чумак», КЕМЗ, «Скандітекс», АТ «Каховська філія Каргілл»).</w:t>
            </w:r>
          </w:p>
          <w:p>
            <w:pPr>
              <w:pStyle w:val="Normal"/>
              <w:numPr>
                <w:ilvl w:val="0"/>
                <w:numId w:val="15"/>
              </w:numPr>
              <w:tabs>
                <w:tab w:val="left" w:pos="2495" w:leader="none"/>
              </w:tabs>
              <w:spacing w:lineRule="auto" w:line="240" w:before="0" w:after="0"/>
              <w:ind w:left="209" w:hanging="209"/>
              <w:jc w:val="both"/>
              <w:rPr>
                <w:rFonts w:ascii="Times New Roman" w:hAnsi="Times New Roman" w:eastAsia="Calibri" w:cs="Times New Roman"/>
                <w:color w:val="00000A"/>
              </w:rPr>
            </w:pPr>
            <w:r>
              <w:rPr>
                <w:rFonts w:eastAsia="Calibri" w:cs="Times New Roman" w:ascii="Times New Roman" w:hAnsi="Times New Roman"/>
                <w:color w:val="00000A"/>
              </w:rPr>
              <w:t>13.Досвід проведення масштабних культурних та туристичних заходів.</w:t>
            </w:r>
          </w:p>
          <w:p>
            <w:pPr>
              <w:pStyle w:val="Normal"/>
              <w:numPr>
                <w:ilvl w:val="0"/>
                <w:numId w:val="15"/>
              </w:numPr>
              <w:tabs>
                <w:tab w:val="left" w:pos="2495" w:leader="none"/>
              </w:tabs>
              <w:spacing w:lineRule="auto" w:line="240" w:before="0" w:after="0"/>
              <w:ind w:left="209" w:hanging="209"/>
              <w:jc w:val="both"/>
              <w:rPr>
                <w:rFonts w:ascii="Times New Roman" w:hAnsi="Times New Roman" w:eastAsia="Calibri" w:cs="Times New Roman"/>
                <w:color w:val="00000A"/>
              </w:rPr>
            </w:pPr>
            <w:r>
              <w:rPr>
                <w:rFonts w:eastAsia="Calibri" w:cs="Times New Roman" w:ascii="Times New Roman" w:hAnsi="Times New Roman"/>
                <w:color w:val="00000A"/>
              </w:rPr>
              <w:t>14.Розвинутий малий авіаційний та парашутний спорт.</w:t>
            </w:r>
          </w:p>
          <w:p>
            <w:pPr>
              <w:pStyle w:val="Normal"/>
              <w:numPr>
                <w:ilvl w:val="0"/>
                <w:numId w:val="15"/>
              </w:numPr>
              <w:tabs>
                <w:tab w:val="left" w:pos="2495" w:leader="none"/>
              </w:tabs>
              <w:spacing w:lineRule="auto" w:line="240" w:before="0" w:after="0"/>
              <w:ind w:left="209" w:hanging="209"/>
              <w:jc w:val="both"/>
              <w:rPr>
                <w:rFonts w:ascii="Times New Roman" w:hAnsi="Times New Roman" w:eastAsia="Calibri" w:cs="Times New Roman"/>
                <w:color w:val="00000A"/>
              </w:rPr>
            </w:pPr>
            <w:r>
              <w:rPr>
                <w:rFonts w:eastAsia="Calibri" w:cs="Times New Roman" w:ascii="Times New Roman" w:hAnsi="Times New Roman"/>
                <w:color w:val="00000A"/>
              </w:rPr>
              <w:t>15.Інвестиційний потенціал (земельні ділянки, кваліфікована робоча сила).</w:t>
            </w:r>
          </w:p>
          <w:p>
            <w:pPr>
              <w:pStyle w:val="Normal"/>
              <w:numPr>
                <w:ilvl w:val="0"/>
                <w:numId w:val="15"/>
              </w:numPr>
              <w:tabs>
                <w:tab w:val="left" w:pos="2495" w:leader="none"/>
              </w:tabs>
              <w:spacing w:lineRule="auto" w:line="240" w:before="0" w:after="0"/>
              <w:ind w:left="209" w:hanging="209"/>
              <w:jc w:val="both"/>
              <w:rPr>
                <w:rFonts w:ascii="Times New Roman" w:hAnsi="Times New Roman" w:eastAsia="Calibri" w:cs="Times New Roman"/>
                <w:color w:val="00000A"/>
              </w:rPr>
            </w:pPr>
            <w:r>
              <w:rPr>
                <w:rFonts w:eastAsia="Calibri" w:cs="Times New Roman" w:ascii="Times New Roman" w:hAnsi="Times New Roman"/>
                <w:color w:val="00000A"/>
              </w:rPr>
              <w:t>16.Розвинута сфера послуг</w:t>
            </w:r>
          </w:p>
        </w:tc>
        <w:tc>
          <w:tcPr>
            <w:tcW w:w="496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10" w:type="dxa"/>
            </w:tcMar>
          </w:tcPr>
          <w:p>
            <w:pPr>
              <w:pStyle w:val="Normal"/>
              <w:tabs>
                <w:tab w:val="left" w:pos="2495" w:leader="none"/>
              </w:tabs>
              <w:spacing w:lineRule="auto" w:line="240" w:before="0" w:after="0"/>
              <w:ind w:left="404" w:hanging="263"/>
              <w:rPr>
                <w:rFonts w:ascii="Times New Roman" w:hAnsi="Times New Roman" w:eastAsia="Calibri" w:cs="Times New Roman"/>
                <w:color w:val="00000A"/>
              </w:rPr>
            </w:pPr>
            <w:r>
              <w:rPr>
                <w:rFonts w:eastAsia="Calibri" w:cs="Times New Roman" w:ascii="Times New Roman" w:hAnsi="Times New Roman"/>
                <w:color w:val="00000A"/>
              </w:rPr>
              <w:t>1. Посушливий клімат.</w:t>
            </w:r>
          </w:p>
          <w:p>
            <w:pPr>
              <w:pStyle w:val="Normal"/>
              <w:tabs>
                <w:tab w:val="left" w:pos="2495" w:leader="none"/>
              </w:tabs>
              <w:spacing w:lineRule="auto" w:line="240" w:before="0" w:after="0"/>
              <w:ind w:left="404" w:hanging="263"/>
              <w:rPr>
                <w:rFonts w:ascii="Times New Roman" w:hAnsi="Times New Roman" w:eastAsia="Calibri" w:cs="Times New Roman"/>
                <w:color w:val="00000A"/>
              </w:rPr>
            </w:pPr>
            <w:r>
              <w:rPr>
                <w:rFonts w:eastAsia="Calibri" w:cs="Times New Roman" w:ascii="Times New Roman" w:hAnsi="Times New Roman"/>
                <w:color w:val="00000A"/>
              </w:rPr>
              <w:t>2. Незавершена інвентаризація землі та комерційної нерухомості.</w:t>
            </w:r>
          </w:p>
          <w:p>
            <w:pPr>
              <w:pStyle w:val="Normal"/>
              <w:tabs>
                <w:tab w:val="left" w:pos="2495" w:leader="none"/>
              </w:tabs>
              <w:spacing w:lineRule="auto" w:line="240" w:before="0" w:after="0"/>
              <w:ind w:left="404" w:hanging="263"/>
              <w:rPr>
                <w:rFonts w:ascii="Times New Roman" w:hAnsi="Times New Roman" w:eastAsia="Calibri" w:cs="Times New Roman"/>
                <w:color w:val="00000A"/>
              </w:rPr>
            </w:pPr>
            <w:r>
              <w:rPr>
                <w:rFonts w:eastAsia="Calibri" w:cs="Times New Roman" w:ascii="Times New Roman" w:hAnsi="Times New Roman"/>
                <w:color w:val="00000A"/>
              </w:rPr>
              <w:t>3. Незначна негативна демографія (прогноз -400 мешканців у 2022 р.).</w:t>
            </w:r>
          </w:p>
          <w:p>
            <w:pPr>
              <w:pStyle w:val="Normal"/>
              <w:tabs>
                <w:tab w:val="left" w:pos="2495" w:leader="none"/>
              </w:tabs>
              <w:spacing w:lineRule="auto" w:line="240" w:before="0" w:after="0"/>
              <w:ind w:left="404" w:hanging="263"/>
              <w:rPr>
                <w:rFonts w:ascii="Times New Roman" w:hAnsi="Times New Roman" w:eastAsia="Calibri" w:cs="Times New Roman"/>
                <w:color w:val="00000A"/>
              </w:rPr>
            </w:pPr>
            <w:r>
              <w:rPr>
                <w:rFonts w:eastAsia="Calibri" w:cs="Times New Roman" w:ascii="Times New Roman" w:hAnsi="Times New Roman"/>
                <w:color w:val="00000A"/>
              </w:rPr>
              <w:t>4. Нестача лікарів та середнього медперсоналу первинної медицини.</w:t>
            </w:r>
          </w:p>
          <w:p>
            <w:pPr>
              <w:pStyle w:val="Normal"/>
              <w:tabs>
                <w:tab w:val="left" w:pos="2495" w:leader="none"/>
              </w:tabs>
              <w:spacing w:lineRule="auto" w:line="240" w:before="0" w:after="0"/>
              <w:ind w:left="404" w:hanging="263"/>
              <w:rPr>
                <w:rFonts w:ascii="Times New Roman" w:hAnsi="Times New Roman" w:eastAsia="Calibri" w:cs="Times New Roman"/>
                <w:color w:val="00000A"/>
              </w:rPr>
            </w:pPr>
            <w:r>
              <w:rPr>
                <w:rFonts w:eastAsia="Calibri" w:cs="Times New Roman" w:ascii="Times New Roman" w:hAnsi="Times New Roman"/>
                <w:color w:val="00000A"/>
              </w:rPr>
              <w:t>5. Недостатньо розвинена і застаріла мережа спортивної інфраструктури.</w:t>
            </w:r>
          </w:p>
          <w:p>
            <w:pPr>
              <w:pStyle w:val="Normal"/>
              <w:tabs>
                <w:tab w:val="left" w:pos="2495" w:leader="none"/>
              </w:tabs>
              <w:spacing w:lineRule="auto" w:line="240" w:before="0" w:after="0"/>
              <w:ind w:left="404" w:hanging="263"/>
              <w:rPr>
                <w:rFonts w:ascii="Times New Roman" w:hAnsi="Times New Roman" w:eastAsia="Calibri" w:cs="Times New Roman"/>
                <w:color w:val="00000A"/>
              </w:rPr>
            </w:pPr>
            <w:r>
              <w:rPr>
                <w:rFonts w:eastAsia="Calibri" w:cs="Times New Roman" w:ascii="Times New Roman" w:hAnsi="Times New Roman"/>
                <w:color w:val="00000A"/>
              </w:rPr>
              <w:t>6. Більшість комунальних будівель потребують ремонту.</w:t>
            </w:r>
          </w:p>
          <w:p>
            <w:pPr>
              <w:pStyle w:val="Normal"/>
              <w:tabs>
                <w:tab w:val="left" w:pos="2495" w:leader="none"/>
              </w:tabs>
              <w:spacing w:lineRule="auto" w:line="240" w:before="0" w:after="0"/>
              <w:ind w:left="404" w:hanging="263"/>
              <w:rPr>
                <w:rFonts w:ascii="Times New Roman" w:hAnsi="Times New Roman" w:eastAsia="Calibri" w:cs="Times New Roman"/>
                <w:color w:val="00000A"/>
              </w:rPr>
            </w:pPr>
            <w:r>
              <w:rPr>
                <w:rFonts w:eastAsia="Calibri" w:cs="Times New Roman" w:ascii="Times New Roman" w:hAnsi="Times New Roman"/>
                <w:color w:val="00000A"/>
              </w:rPr>
              <w:t>7. Не створені ОСББ у старостинських округах.</w:t>
            </w:r>
          </w:p>
          <w:p>
            <w:pPr>
              <w:pStyle w:val="Normal"/>
              <w:tabs>
                <w:tab w:val="left" w:pos="2495" w:leader="none"/>
              </w:tabs>
              <w:spacing w:lineRule="auto" w:line="240" w:before="0" w:after="0"/>
              <w:ind w:left="404" w:hanging="263"/>
              <w:rPr>
                <w:rFonts w:ascii="Times New Roman" w:hAnsi="Times New Roman" w:eastAsia="Calibri" w:cs="Times New Roman"/>
                <w:color w:val="00000A"/>
              </w:rPr>
            </w:pPr>
            <w:r>
              <w:rPr>
                <w:rFonts w:eastAsia="Calibri" w:cs="Times New Roman" w:ascii="Times New Roman" w:hAnsi="Times New Roman"/>
                <w:color w:val="00000A"/>
              </w:rPr>
              <w:t>8. Недостатня комп'ютерна грамотність населення.</w:t>
            </w:r>
          </w:p>
          <w:p>
            <w:pPr>
              <w:pStyle w:val="Normal"/>
              <w:tabs>
                <w:tab w:val="left" w:pos="2495" w:leader="none"/>
              </w:tabs>
              <w:spacing w:lineRule="auto" w:line="240" w:before="0" w:after="0"/>
              <w:ind w:left="404" w:hanging="263"/>
              <w:rPr>
                <w:rFonts w:ascii="Times New Roman" w:hAnsi="Times New Roman" w:eastAsia="Calibri" w:cs="Times New Roman"/>
                <w:color w:val="00000A"/>
              </w:rPr>
            </w:pPr>
            <w:r>
              <w:rPr>
                <w:rFonts w:eastAsia="Calibri" w:cs="Times New Roman" w:ascii="Times New Roman" w:hAnsi="Times New Roman"/>
                <w:color w:val="00000A"/>
              </w:rPr>
              <w:t>9. Незадовільний стан внутрішніх автомобільних доріг та вулиць у населених пунктах.</w:t>
            </w:r>
          </w:p>
          <w:p>
            <w:pPr>
              <w:pStyle w:val="Normal"/>
              <w:tabs>
                <w:tab w:val="left" w:pos="2495" w:leader="none"/>
              </w:tabs>
              <w:spacing w:lineRule="auto" w:line="240" w:before="0" w:after="0"/>
              <w:ind w:left="262" w:hanging="121"/>
              <w:rPr>
                <w:rFonts w:ascii="Times New Roman" w:hAnsi="Times New Roman" w:eastAsia="Calibri" w:cs="Times New Roman"/>
                <w:color w:val="00000A"/>
              </w:rPr>
            </w:pPr>
            <w:r>
              <w:rPr>
                <w:rFonts w:eastAsia="Calibri" w:cs="Times New Roman" w:ascii="Times New Roman" w:hAnsi="Times New Roman"/>
                <w:color w:val="00000A"/>
              </w:rPr>
              <w:t>10. Необхідність реконструкції та будівництва вуличного освітлення.</w:t>
            </w:r>
          </w:p>
          <w:p>
            <w:pPr>
              <w:pStyle w:val="Normal"/>
              <w:tabs>
                <w:tab w:val="left" w:pos="2495" w:leader="none"/>
              </w:tabs>
              <w:spacing w:lineRule="auto" w:line="240" w:before="0" w:after="0"/>
              <w:ind w:left="262" w:hanging="121"/>
              <w:rPr>
                <w:rFonts w:ascii="Times New Roman" w:hAnsi="Times New Roman" w:eastAsia="Calibri" w:cs="Times New Roman"/>
                <w:color w:val="00000A"/>
              </w:rPr>
            </w:pPr>
            <w:r>
              <w:rPr>
                <w:rFonts w:eastAsia="Calibri" w:cs="Times New Roman" w:ascii="Times New Roman" w:hAnsi="Times New Roman"/>
                <w:color w:val="00000A"/>
              </w:rPr>
              <w:t>11. Зношені водогони та очисні споруди, незадовільне водозабезпечення та водовідведення сільських населених пунктів.</w:t>
            </w:r>
          </w:p>
          <w:p>
            <w:pPr>
              <w:pStyle w:val="Normal"/>
              <w:tabs>
                <w:tab w:val="left" w:pos="2495" w:leader="none"/>
              </w:tabs>
              <w:spacing w:lineRule="auto" w:line="240" w:before="0" w:after="0"/>
              <w:ind w:left="262" w:hanging="121"/>
              <w:rPr>
                <w:rFonts w:ascii="Times New Roman" w:hAnsi="Times New Roman" w:eastAsia="Calibri" w:cs="Times New Roman"/>
                <w:color w:val="00000A"/>
              </w:rPr>
            </w:pPr>
            <w:r>
              <w:rPr>
                <w:rFonts w:eastAsia="Calibri" w:cs="Times New Roman" w:ascii="Times New Roman" w:hAnsi="Times New Roman"/>
                <w:color w:val="00000A"/>
              </w:rPr>
              <w:t>12. Суттєвий брак профільної комунальної техніки.</w:t>
            </w:r>
          </w:p>
          <w:p>
            <w:pPr>
              <w:pStyle w:val="Normal"/>
              <w:tabs>
                <w:tab w:val="left" w:pos="2495" w:leader="none"/>
              </w:tabs>
              <w:spacing w:lineRule="auto" w:line="240" w:before="0" w:after="0"/>
              <w:ind w:left="262" w:hanging="121"/>
              <w:rPr>
                <w:rFonts w:ascii="Times New Roman" w:hAnsi="Times New Roman" w:eastAsia="Calibri" w:cs="Times New Roman"/>
                <w:color w:val="00000A"/>
              </w:rPr>
            </w:pPr>
            <w:r>
              <w:rPr>
                <w:rFonts w:eastAsia="Calibri" w:cs="Times New Roman" w:ascii="Times New Roman" w:hAnsi="Times New Roman"/>
                <w:color w:val="00000A"/>
              </w:rPr>
              <w:t>13. Потреба у розширенні мережі місць та центрів дозвілля.</w:t>
            </w:r>
          </w:p>
          <w:p>
            <w:pPr>
              <w:pStyle w:val="Normal"/>
              <w:tabs>
                <w:tab w:val="left" w:pos="2495" w:leader="none"/>
              </w:tabs>
              <w:spacing w:lineRule="auto" w:line="240" w:before="0" w:after="0"/>
              <w:ind w:left="262" w:hanging="121"/>
              <w:rPr>
                <w:rFonts w:ascii="Times New Roman" w:hAnsi="Times New Roman" w:eastAsia="Calibri" w:cs="Times New Roman"/>
                <w:color w:val="00000A"/>
              </w:rPr>
            </w:pPr>
            <w:r>
              <w:rPr>
                <w:rFonts w:eastAsia="Calibri" w:cs="Times New Roman" w:ascii="Times New Roman" w:hAnsi="Times New Roman"/>
                <w:color w:val="00000A"/>
              </w:rPr>
              <w:t>14. Стан громадської безпеки неналежного рівня.</w:t>
            </w:r>
          </w:p>
          <w:p>
            <w:pPr>
              <w:pStyle w:val="Normal"/>
              <w:tabs>
                <w:tab w:val="left" w:pos="2495" w:leader="none"/>
              </w:tabs>
              <w:spacing w:lineRule="auto" w:line="240" w:before="0" w:after="0"/>
              <w:ind w:left="262" w:hanging="121"/>
              <w:rPr>
                <w:rFonts w:ascii="Times New Roman" w:hAnsi="Times New Roman" w:eastAsia="Calibri" w:cs="Times New Roman"/>
                <w:color w:val="00000A"/>
              </w:rPr>
            </w:pPr>
            <w:r>
              <w:rPr>
                <w:rFonts w:eastAsia="Calibri" w:cs="Times New Roman" w:ascii="Times New Roman" w:hAnsi="Times New Roman"/>
                <w:color w:val="00000A"/>
              </w:rPr>
              <w:t>15. Соціальна перевантаженість видаткової частини місцевого бюджету (понад 85%).</w:t>
            </w:r>
          </w:p>
          <w:p>
            <w:pPr>
              <w:pStyle w:val="Normal"/>
              <w:tabs>
                <w:tab w:val="left" w:pos="2495" w:leader="none"/>
              </w:tabs>
              <w:spacing w:lineRule="auto" w:line="240" w:before="0" w:after="0"/>
              <w:ind w:left="262" w:hanging="121"/>
              <w:rPr>
                <w:rFonts w:ascii="Times New Roman" w:hAnsi="Times New Roman" w:eastAsia="Calibri" w:cs="Times New Roman"/>
                <w:color w:val="00000A"/>
              </w:rPr>
            </w:pPr>
            <w:r>
              <w:rPr>
                <w:rFonts w:eastAsia="Calibri" w:cs="Times New Roman" w:ascii="Times New Roman" w:hAnsi="Times New Roman"/>
                <w:color w:val="00000A"/>
              </w:rPr>
              <w:t>16. Недосконала система збору і сортування ТПВ.</w:t>
            </w:r>
          </w:p>
          <w:p>
            <w:pPr>
              <w:pStyle w:val="Normal"/>
              <w:tabs>
                <w:tab w:val="left" w:pos="2495" w:leader="none"/>
              </w:tabs>
              <w:spacing w:lineRule="auto" w:line="240" w:before="0" w:after="0"/>
              <w:ind w:left="262" w:hanging="121"/>
              <w:rPr>
                <w:rFonts w:ascii="Times New Roman" w:hAnsi="Times New Roman" w:eastAsia="Calibri" w:cs="Times New Roman"/>
                <w:color w:val="00000A"/>
              </w:rPr>
            </w:pPr>
            <w:r>
              <w:rPr>
                <w:rFonts w:eastAsia="Calibri" w:cs="Times New Roman" w:ascii="Times New Roman" w:hAnsi="Times New Roman"/>
                <w:color w:val="00000A"/>
              </w:rPr>
              <w:t>17. Недостатня комунікація влади з громадою.</w:t>
            </w:r>
          </w:p>
        </w:tc>
      </w:tr>
      <w:tr>
        <w:trPr>
          <w:trHeight w:val="208" w:hRule="atLeast"/>
        </w:trPr>
        <w:tc>
          <w:tcPr>
            <w:tcW w:w="5528" w:type="dxa"/>
            <w:tcBorders>
              <w:top w:val="single" w:sz="8" w:space="0" w:color="000001"/>
              <w:bottom w:val="single" w:sz="8" w:space="0" w:color="000001"/>
              <w:right w:val="single" w:sz="8" w:space="0" w:color="000001"/>
              <w:insideH w:val="single" w:sz="8" w:space="0" w:color="000001"/>
              <w:insideV w:val="single" w:sz="8" w:space="0" w:color="000001"/>
            </w:tcBorders>
            <w:shd w:color="auto" w:fill="79DCFF" w:val="clear"/>
          </w:tcPr>
          <w:p>
            <w:pPr>
              <w:pStyle w:val="Normal"/>
              <w:tabs>
                <w:tab w:val="left" w:pos="2495" w:leader="none"/>
              </w:tabs>
              <w:spacing w:lineRule="auto" w:line="240" w:before="0" w:after="0"/>
              <w:jc w:val="center"/>
              <w:rPr>
                <w:rFonts w:ascii="Times New Roman" w:hAnsi="Times New Roman" w:eastAsia="Calibri" w:cs="Times New Roman"/>
                <w:color w:val="00000A"/>
              </w:rPr>
            </w:pPr>
            <w:r>
              <w:rPr>
                <w:rFonts w:eastAsia="Calibri" w:cs="Times New Roman" w:ascii="Times New Roman" w:hAnsi="Times New Roman"/>
                <w:b/>
                <w:bCs/>
                <w:color w:val="00000A"/>
                <w:sz w:val="24"/>
                <w:szCs w:val="24"/>
              </w:rPr>
              <w:t>Можливості (O) зовнішні</w:t>
            </w:r>
          </w:p>
        </w:tc>
        <w:tc>
          <w:tcPr>
            <w:tcW w:w="496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D9D9D9" w:val="clear"/>
            <w:tcMar>
              <w:left w:w="-10" w:type="dxa"/>
            </w:tcMar>
          </w:tcPr>
          <w:p>
            <w:pPr>
              <w:pStyle w:val="Normal"/>
              <w:tabs>
                <w:tab w:val="left" w:pos="2495" w:leader="none"/>
              </w:tabs>
              <w:spacing w:lineRule="auto" w:line="240" w:before="0" w:after="0"/>
              <w:jc w:val="center"/>
              <w:rPr>
                <w:rFonts w:ascii="Times New Roman" w:hAnsi="Times New Roman" w:eastAsia="Calibri" w:cs="Times New Roman"/>
                <w:color w:val="00000A"/>
              </w:rPr>
            </w:pPr>
            <w:r>
              <w:rPr>
                <w:rFonts w:eastAsia="Calibri" w:cs="Times New Roman" w:ascii="Times New Roman" w:hAnsi="Times New Roman"/>
                <w:b/>
                <w:bCs/>
                <w:color w:val="00000A"/>
                <w:sz w:val="24"/>
                <w:szCs w:val="24"/>
              </w:rPr>
              <w:t>Загрози (T ) зовнішні</w:t>
            </w:r>
          </w:p>
        </w:tc>
      </w:tr>
      <w:tr>
        <w:trPr>
          <w:trHeight w:val="2874" w:hRule="atLeast"/>
        </w:trPr>
        <w:tc>
          <w:tcPr>
            <w:tcW w:w="5528" w:type="dxa"/>
            <w:tcBorders>
              <w:top w:val="single" w:sz="8" w:space="0" w:color="000001"/>
              <w:bottom w:val="single" w:sz="8" w:space="0" w:color="000001"/>
              <w:right w:val="single" w:sz="8" w:space="0" w:color="000001"/>
              <w:insideH w:val="single" w:sz="8" w:space="0" w:color="000001"/>
              <w:insideV w:val="single" w:sz="8" w:space="0" w:color="000001"/>
            </w:tcBorders>
            <w:shd w:color="auto" w:fill="auto" w:val="clear"/>
          </w:tcPr>
          <w:p>
            <w:pPr>
              <w:pStyle w:val="Normal"/>
              <w:tabs>
                <w:tab w:val="left" w:pos="2495" w:leader="none"/>
              </w:tabs>
              <w:spacing w:lineRule="auto" w:line="240" w:before="0" w:after="0"/>
              <w:ind w:left="209" w:hanging="209"/>
              <w:rPr>
                <w:rFonts w:ascii="Times New Roman" w:hAnsi="Times New Roman" w:eastAsia="Calibri" w:cs="Times New Roman"/>
                <w:color w:val="00000A"/>
              </w:rPr>
            </w:pPr>
            <w:r>
              <w:rPr>
                <w:rFonts w:eastAsia="Calibri" w:cs="Times New Roman" w:ascii="Times New Roman" w:hAnsi="Times New Roman"/>
                <w:color w:val="00000A"/>
              </w:rPr>
              <w:t>1. Завершення реконструкції автомагістралі М14, автодороги Р-47.</w:t>
            </w:r>
          </w:p>
          <w:p>
            <w:pPr>
              <w:pStyle w:val="Normal"/>
              <w:tabs>
                <w:tab w:val="left" w:pos="2495" w:leader="none"/>
              </w:tabs>
              <w:spacing w:lineRule="auto" w:line="240" w:before="0" w:after="0"/>
              <w:ind w:left="209" w:hanging="209"/>
              <w:rPr>
                <w:rFonts w:ascii="Times New Roman" w:hAnsi="Times New Roman" w:eastAsia="Calibri" w:cs="Times New Roman"/>
                <w:color w:val="00000A"/>
              </w:rPr>
            </w:pPr>
            <w:r>
              <w:rPr>
                <w:rFonts w:eastAsia="Calibri" w:cs="Times New Roman" w:ascii="Times New Roman" w:hAnsi="Times New Roman"/>
                <w:color w:val="00000A"/>
              </w:rPr>
              <w:t>2. Зростання інтересу до туризму на Херсонщині.</w:t>
            </w:r>
          </w:p>
          <w:p>
            <w:pPr>
              <w:pStyle w:val="Normal"/>
              <w:tabs>
                <w:tab w:val="left" w:pos="2495" w:leader="none"/>
              </w:tabs>
              <w:spacing w:lineRule="auto" w:line="240" w:before="0" w:after="0"/>
              <w:ind w:left="209" w:hanging="209"/>
              <w:rPr>
                <w:rFonts w:ascii="Times New Roman" w:hAnsi="Times New Roman" w:eastAsia="Calibri" w:cs="Times New Roman"/>
                <w:color w:val="00000A"/>
              </w:rPr>
            </w:pPr>
            <w:r>
              <w:rPr>
                <w:rFonts w:eastAsia="Calibri" w:cs="Times New Roman" w:ascii="Times New Roman" w:hAnsi="Times New Roman"/>
                <w:color w:val="00000A"/>
              </w:rPr>
              <w:t>3. Подальше зростання інвестиційної привабливості України.</w:t>
            </w:r>
          </w:p>
          <w:p>
            <w:pPr>
              <w:pStyle w:val="Normal"/>
              <w:tabs>
                <w:tab w:val="left" w:pos="2495" w:leader="none"/>
              </w:tabs>
              <w:spacing w:lineRule="auto" w:line="240" w:before="0" w:after="0"/>
              <w:ind w:left="209" w:hanging="209"/>
              <w:rPr>
                <w:rFonts w:ascii="Times New Roman" w:hAnsi="Times New Roman" w:eastAsia="Calibri" w:cs="Times New Roman"/>
                <w:color w:val="00000A"/>
              </w:rPr>
            </w:pPr>
            <w:r>
              <w:rPr>
                <w:rFonts w:eastAsia="Calibri" w:cs="Times New Roman" w:ascii="Times New Roman" w:hAnsi="Times New Roman"/>
                <w:color w:val="00000A"/>
              </w:rPr>
              <w:t>4. Триваючий попит на агропродукцію в світі.</w:t>
            </w:r>
          </w:p>
          <w:p>
            <w:pPr>
              <w:pStyle w:val="Normal"/>
              <w:tabs>
                <w:tab w:val="left" w:pos="2495" w:leader="none"/>
              </w:tabs>
              <w:spacing w:lineRule="auto" w:line="240" w:before="0" w:after="0"/>
              <w:ind w:left="209" w:hanging="209"/>
              <w:rPr>
                <w:rFonts w:ascii="Times New Roman" w:hAnsi="Times New Roman" w:eastAsia="Calibri" w:cs="Times New Roman"/>
                <w:color w:val="00000A"/>
              </w:rPr>
            </w:pPr>
            <w:r>
              <w:rPr>
                <w:rFonts w:eastAsia="Calibri" w:cs="Times New Roman" w:ascii="Times New Roman" w:hAnsi="Times New Roman"/>
                <w:color w:val="00000A"/>
              </w:rPr>
              <w:t>5. Повна передача громаді повноважень використання земель за межами населених пунктів.</w:t>
            </w:r>
          </w:p>
          <w:p>
            <w:pPr>
              <w:pStyle w:val="Normal"/>
              <w:tabs>
                <w:tab w:val="left" w:pos="2495" w:leader="none"/>
              </w:tabs>
              <w:spacing w:lineRule="auto" w:line="240" w:before="0" w:after="0"/>
              <w:ind w:left="209" w:hanging="209"/>
              <w:rPr>
                <w:rFonts w:ascii="Times New Roman" w:hAnsi="Times New Roman" w:eastAsia="Calibri" w:cs="Times New Roman"/>
                <w:color w:val="00000A"/>
              </w:rPr>
            </w:pPr>
            <w:r>
              <w:rPr>
                <w:rFonts w:eastAsia="Calibri" w:cs="Times New Roman" w:ascii="Times New Roman" w:hAnsi="Times New Roman"/>
                <w:color w:val="00000A"/>
              </w:rPr>
              <w:t>6. Розвиток альтернативної енергетики.</w:t>
            </w:r>
          </w:p>
          <w:p>
            <w:pPr>
              <w:pStyle w:val="Normal"/>
              <w:tabs>
                <w:tab w:val="left" w:pos="2495" w:leader="none"/>
              </w:tabs>
              <w:spacing w:lineRule="auto" w:line="240" w:before="0" w:after="0"/>
              <w:ind w:left="209" w:hanging="209"/>
              <w:rPr>
                <w:rFonts w:ascii="Times New Roman" w:hAnsi="Times New Roman" w:eastAsia="Calibri" w:cs="Times New Roman"/>
                <w:color w:val="00000A"/>
              </w:rPr>
            </w:pPr>
            <w:r>
              <w:rPr>
                <w:rFonts w:eastAsia="Calibri" w:cs="Times New Roman" w:ascii="Times New Roman" w:hAnsi="Times New Roman"/>
                <w:color w:val="00000A"/>
              </w:rPr>
              <w:t>7. Продовження діяльності в Україні проектів МТД, які підтримують громади.</w:t>
            </w:r>
          </w:p>
          <w:p>
            <w:pPr>
              <w:pStyle w:val="Normal"/>
              <w:tabs>
                <w:tab w:val="left" w:pos="2495" w:leader="none"/>
              </w:tabs>
              <w:spacing w:lineRule="auto" w:line="240" w:before="0" w:after="0"/>
              <w:ind w:left="209" w:hanging="209"/>
              <w:rPr>
                <w:rFonts w:ascii="Times New Roman" w:hAnsi="Times New Roman" w:eastAsia="Calibri" w:cs="Times New Roman"/>
                <w:color w:val="00000A"/>
              </w:rPr>
            </w:pPr>
            <w:r>
              <w:rPr>
                <w:rFonts w:eastAsia="Calibri" w:cs="Times New Roman" w:ascii="Times New Roman" w:hAnsi="Times New Roman"/>
                <w:color w:val="00000A"/>
              </w:rPr>
              <w:t>8. Розвиток Херсонського аеропорту.</w:t>
            </w:r>
          </w:p>
        </w:tc>
        <w:tc>
          <w:tcPr>
            <w:tcW w:w="496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10" w:type="dxa"/>
            </w:tcMar>
          </w:tcPr>
          <w:p>
            <w:pPr>
              <w:pStyle w:val="Normal"/>
              <w:tabs>
                <w:tab w:val="left" w:pos="2495" w:leader="none"/>
              </w:tabs>
              <w:spacing w:lineRule="auto" w:line="240" w:before="0" w:after="0"/>
              <w:ind w:left="404" w:hanging="263"/>
              <w:rPr>
                <w:rFonts w:ascii="Times New Roman" w:hAnsi="Times New Roman" w:eastAsia="Calibri" w:cs="Times New Roman"/>
                <w:color w:val="00000A"/>
              </w:rPr>
            </w:pPr>
            <w:r>
              <w:rPr>
                <w:rFonts w:eastAsia="Calibri" w:cs="Times New Roman" w:ascii="Times New Roman" w:hAnsi="Times New Roman"/>
                <w:color w:val="00000A"/>
              </w:rPr>
              <w:t>1. Продовження військового конфлікту на Сході України.</w:t>
            </w:r>
          </w:p>
          <w:p>
            <w:pPr>
              <w:pStyle w:val="Normal"/>
              <w:tabs>
                <w:tab w:val="left" w:pos="2495" w:leader="none"/>
              </w:tabs>
              <w:spacing w:lineRule="auto" w:line="240" w:before="0" w:after="0"/>
              <w:ind w:left="404" w:hanging="263"/>
              <w:rPr>
                <w:rFonts w:ascii="Times New Roman" w:hAnsi="Times New Roman" w:eastAsia="Calibri" w:cs="Times New Roman"/>
                <w:color w:val="00000A"/>
              </w:rPr>
            </w:pPr>
            <w:r>
              <w:rPr>
                <w:rFonts w:eastAsia="Calibri" w:cs="Times New Roman" w:ascii="Times New Roman" w:hAnsi="Times New Roman"/>
                <w:color w:val="00000A"/>
              </w:rPr>
              <w:t>2. Нестабільне податкове та інвестиційне законодавство.</w:t>
            </w:r>
          </w:p>
          <w:p>
            <w:pPr>
              <w:pStyle w:val="Normal"/>
              <w:tabs>
                <w:tab w:val="left" w:pos="2495" w:leader="none"/>
              </w:tabs>
              <w:spacing w:lineRule="auto" w:line="240" w:before="0" w:after="0"/>
              <w:ind w:left="404" w:hanging="263"/>
              <w:rPr>
                <w:rFonts w:ascii="Times New Roman" w:hAnsi="Times New Roman" w:eastAsia="Calibri" w:cs="Times New Roman"/>
                <w:color w:val="00000A"/>
              </w:rPr>
            </w:pPr>
            <w:r>
              <w:rPr>
                <w:rFonts w:eastAsia="Calibri" w:cs="Times New Roman" w:ascii="Times New Roman" w:hAnsi="Times New Roman"/>
                <w:color w:val="00000A"/>
              </w:rPr>
              <w:t>3. Затягування з проведенням ключових реформ.</w:t>
            </w:r>
          </w:p>
          <w:p>
            <w:pPr>
              <w:pStyle w:val="Normal"/>
              <w:tabs>
                <w:tab w:val="left" w:pos="2495" w:leader="none"/>
              </w:tabs>
              <w:spacing w:lineRule="auto" w:line="240" w:before="0" w:after="0"/>
              <w:ind w:left="404" w:hanging="263"/>
              <w:rPr>
                <w:rFonts w:ascii="Times New Roman" w:hAnsi="Times New Roman" w:eastAsia="Calibri" w:cs="Times New Roman"/>
                <w:color w:val="00000A"/>
              </w:rPr>
            </w:pPr>
            <w:r>
              <w:rPr>
                <w:rFonts w:eastAsia="Calibri" w:cs="Times New Roman" w:ascii="Times New Roman" w:hAnsi="Times New Roman"/>
                <w:color w:val="00000A"/>
              </w:rPr>
              <w:t>4. Посилення конкуренції з боку сусідніх громад (Нова Каховка, Таврійськ).</w:t>
            </w:r>
          </w:p>
          <w:p>
            <w:pPr>
              <w:pStyle w:val="Normal"/>
              <w:tabs>
                <w:tab w:val="left" w:pos="2495" w:leader="none"/>
              </w:tabs>
              <w:spacing w:lineRule="auto" w:line="240" w:before="0" w:after="0"/>
              <w:ind w:left="404" w:hanging="263"/>
              <w:rPr>
                <w:rFonts w:ascii="Times New Roman" w:hAnsi="Times New Roman" w:eastAsia="Calibri" w:cs="Times New Roman"/>
                <w:color w:val="00000A"/>
              </w:rPr>
            </w:pPr>
            <w:r>
              <w:rPr>
                <w:rFonts w:eastAsia="Calibri" w:cs="Times New Roman" w:ascii="Times New Roman" w:hAnsi="Times New Roman"/>
                <w:color w:val="00000A"/>
              </w:rPr>
              <w:t>5. Збільшення навантаження на місцеві бюджети.</w:t>
            </w:r>
          </w:p>
          <w:p>
            <w:pPr>
              <w:pStyle w:val="Normal"/>
              <w:tabs>
                <w:tab w:val="left" w:pos="2495" w:leader="none"/>
              </w:tabs>
              <w:spacing w:lineRule="auto" w:line="240" w:before="0" w:after="0"/>
              <w:ind w:left="404" w:hanging="263"/>
              <w:rPr>
                <w:rFonts w:ascii="Times New Roman" w:hAnsi="Times New Roman" w:eastAsia="Calibri" w:cs="Times New Roman"/>
                <w:color w:val="00000A"/>
              </w:rPr>
            </w:pPr>
            <w:r>
              <w:rPr>
                <w:rFonts w:eastAsia="Calibri" w:cs="Times New Roman" w:ascii="Times New Roman" w:hAnsi="Times New Roman"/>
                <w:color w:val="00000A"/>
              </w:rPr>
              <w:t>6. Наростання негативного впливу кліматичних змін.</w:t>
            </w:r>
          </w:p>
          <w:p>
            <w:pPr>
              <w:pStyle w:val="Normal"/>
              <w:tabs>
                <w:tab w:val="left" w:pos="2495" w:leader="none"/>
              </w:tabs>
              <w:spacing w:lineRule="auto" w:line="240" w:before="0" w:after="0"/>
              <w:ind w:left="404" w:hanging="263"/>
              <w:rPr>
                <w:rFonts w:ascii="Times New Roman" w:hAnsi="Times New Roman" w:eastAsia="Calibri" w:cs="Times New Roman"/>
                <w:color w:val="00000A"/>
              </w:rPr>
            </w:pPr>
            <w:r>
              <w:rPr>
                <w:rFonts w:eastAsia="Calibri" w:cs="Times New Roman" w:ascii="Times New Roman" w:hAnsi="Times New Roman"/>
                <w:color w:val="00000A"/>
              </w:rPr>
              <w:t>7. Подальше зростання цін на енергоносії.</w:t>
            </w:r>
          </w:p>
          <w:p>
            <w:pPr>
              <w:pStyle w:val="Normal"/>
              <w:tabs>
                <w:tab w:val="left" w:pos="2495" w:leader="none"/>
              </w:tabs>
              <w:spacing w:lineRule="auto" w:line="240" w:before="0" w:after="0"/>
              <w:ind w:left="404" w:hanging="263"/>
              <w:rPr>
                <w:rFonts w:ascii="Times New Roman" w:hAnsi="Times New Roman" w:eastAsia="Calibri" w:cs="Times New Roman"/>
                <w:color w:val="00000A"/>
              </w:rPr>
            </w:pPr>
            <w:r>
              <w:rPr>
                <w:rFonts w:eastAsia="Calibri" w:cs="Times New Roman" w:ascii="Times New Roman" w:hAnsi="Times New Roman"/>
                <w:color w:val="00000A"/>
              </w:rPr>
              <w:t>8. Подовження обмежень, пов’язаних з пандемією</w:t>
            </w:r>
          </w:p>
        </w:tc>
      </w:tr>
    </w:tbl>
    <w:p>
      <w:pPr>
        <w:pStyle w:val="Normal"/>
        <w:spacing w:lineRule="auto" w:line="240" w:before="0" w:after="0"/>
        <w:jc w:val="both"/>
        <w:rPr>
          <w:rFonts w:ascii="Times New Roman" w:hAnsi="Times New Roman" w:eastAsia="Times New Roman" w:cs="Times New Roman"/>
          <w:sz w:val="24"/>
          <w:szCs w:val="24"/>
          <w:lang w:val="ru-RU" w:eastAsia="uk-UA"/>
        </w:rPr>
      </w:pPr>
      <w:r>
        <w:rPr>
          <w:rFonts w:eastAsia="Times New Roman" w:cs="Times New Roman" w:ascii="Times New Roman" w:hAnsi="Times New Roman"/>
          <w:sz w:val="24"/>
          <w:szCs w:val="24"/>
          <w:lang w:val="ru-RU" w:eastAsia="uk-UA"/>
        </w:rPr>
      </w:r>
    </w:p>
    <w:p>
      <w:pPr>
        <w:pStyle w:val="2"/>
        <w:spacing w:before="0" w:after="120"/>
        <w:ind w:left="284" w:hanging="0"/>
        <w:rPr>
          <w:rFonts w:ascii="Times New Roman" w:hAnsi="Times New Roman" w:cs="Times New Roman"/>
          <w:szCs w:val="24"/>
        </w:rPr>
      </w:pPr>
      <w:bookmarkStart w:id="61" w:name="_Toc84967177"/>
      <w:bookmarkStart w:id="62" w:name="_Hlk372409671"/>
      <w:bookmarkEnd w:id="61"/>
      <w:bookmarkEnd w:id="62"/>
      <w:r>
        <w:rPr>
          <w:rFonts w:cs="Times New Roman" w:ascii="Times New Roman" w:hAnsi="Times New Roman"/>
          <w:szCs w:val="24"/>
        </w:rPr>
        <w:t>2.2. Характеристика порівняльних переваг, викликів та ризиків перспективного розвитку громади</w:t>
      </w:r>
    </w:p>
    <w:p>
      <w:pPr>
        <w:pStyle w:val="Normal"/>
        <w:spacing w:lineRule="auto" w:line="240" w:before="0" w:after="0"/>
        <w:ind w:firstLine="709"/>
        <w:jc w:val="both"/>
        <w:rPr>
          <w:rFonts w:ascii="Times New Roman" w:hAnsi="Times New Roman" w:eastAsia="Calibri" w:cs="Times New Roman"/>
          <w:color w:val="0D0D0D" w:themeColor="text1" w:themeTint="f2"/>
          <w:sz w:val="24"/>
          <w:szCs w:val="24"/>
        </w:rPr>
      </w:pPr>
      <w:r>
        <w:rPr>
          <w:rFonts w:eastAsia="Calibri" w:cs="Times New Roman" w:ascii="Times New Roman" w:hAnsi="Times New Roman"/>
          <w:color w:val="0D0D0D" w:themeColor="text1" w:themeTint="f2"/>
          <w:sz w:val="24"/>
          <w:szCs w:val="24"/>
        </w:rPr>
        <w:t>SWOT-аналіз є основою для виявлення логічних взаємозв'язків між внутрішніми (сильні та слабкі сторони) та зовнішніми (можливості та загрози) факторами, які мають стратегічне значення для розвитку громади. Це дозволяє сформулювати порівняльні переваги, виклики і ризики, які є основою формулювання стратегічних та оперативних цілей розвитку територіальної громади на довгострокову перспективу.</w:t>
      </w:r>
    </w:p>
    <w:p>
      <w:pPr>
        <w:pStyle w:val="Normal"/>
        <w:spacing w:lineRule="auto" w:line="240" w:before="0" w:after="0"/>
        <w:jc w:val="both"/>
        <w:rPr>
          <w:rFonts w:ascii="Times New Roman" w:hAnsi="Times New Roman" w:eastAsia="Calibri" w:cs="Times New Roman"/>
          <w:color w:val="0D0D0D" w:themeColor="text1" w:themeTint="f2"/>
          <w:sz w:val="24"/>
          <w:szCs w:val="24"/>
        </w:rPr>
      </w:pPr>
      <w:r>
        <w:rPr/>
        <w:drawing>
          <wp:inline distT="0" distB="0" distL="0" distR="0">
            <wp:extent cx="6391275" cy="5146040"/>
            <wp:effectExtent l="0" t="0" r="0" b="0"/>
            <wp:docPr id="20"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1" descr=""/>
                    <pic:cNvPicPr>
                      <a:picLocks noChangeAspect="1" noChangeArrowheads="1"/>
                    </pic:cNvPicPr>
                  </pic:nvPicPr>
                  <pic:blipFill>
                    <a:blip r:embed="rId12"/>
                    <a:srcRect l="13942" t="7386" r="11583" b="8307"/>
                    <a:stretch>
                      <a:fillRect/>
                    </a:stretch>
                  </pic:blipFill>
                  <pic:spPr bwMode="auto">
                    <a:xfrm>
                      <a:off x="0" y="0"/>
                      <a:ext cx="6391275" cy="5146040"/>
                    </a:xfrm>
                    <a:prstGeom prst="rect">
                      <a:avLst/>
                    </a:prstGeom>
                  </pic:spPr>
                </pic:pic>
              </a:graphicData>
            </a:graphic>
          </wp:inline>
        </w:drawing>
      </w:r>
    </w:p>
    <w:p>
      <w:pPr>
        <w:pStyle w:val="Normal"/>
        <w:spacing w:lineRule="auto" w:line="240" w:before="0" w:after="0"/>
        <w:rPr>
          <w:rFonts w:ascii="Times New Roman" w:hAnsi="Times New Roman" w:eastAsia="Times New Roman" w:cs="Times New Roman"/>
          <w:sz w:val="16"/>
          <w:szCs w:val="16"/>
          <w:lang w:eastAsia="ru-RU"/>
        </w:rPr>
      </w:pPr>
      <w:r>
        <w:rPr>
          <w:rFonts w:eastAsia="Times New Roman" w:cs="Times New Roman" w:ascii="Times New Roman" w:hAnsi="Times New Roman"/>
          <w:sz w:val="16"/>
          <w:szCs w:val="16"/>
          <w:lang w:eastAsia="ru-RU"/>
        </w:rPr>
      </w:r>
    </w:p>
    <w:p>
      <w:pPr>
        <w:pStyle w:val="Normal"/>
        <w:spacing w:lineRule="auto" w:line="240" w:before="0" w:after="0"/>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mc:AlternateContent>
          <mc:Choice Requires="wps">
            <w:drawing>
              <wp:anchor behindDoc="0" distT="0" distB="0" distL="114300" distR="114300" simplePos="0" locked="0" layoutInCell="1" allowOverlap="1" relativeHeight="6">
                <wp:simplePos x="0" y="0"/>
                <wp:positionH relativeFrom="column">
                  <wp:posOffset>-68580</wp:posOffset>
                </wp:positionH>
                <wp:positionV relativeFrom="paragraph">
                  <wp:posOffset>635</wp:posOffset>
                </wp:positionV>
                <wp:extent cx="5742940" cy="432435"/>
                <wp:effectExtent l="0" t="0" r="0" b="0"/>
                <wp:wrapSquare wrapText="bothSides"/>
                <wp:docPr id="21" name="Врезка5"/>
                <a:graphic xmlns:a="http://schemas.openxmlformats.org/drawingml/2006/main">
                  <a:graphicData uri="http://schemas.microsoft.com/office/word/2010/wordprocessingShape">
                    <wps:wsp>
                      <wps:cNvSpPr/>
                      <wps:spPr>
                        <a:xfrm>
                          <a:off x="0" y="0"/>
                          <a:ext cx="5742360" cy="431640"/>
                        </a:xfrm>
                        <a:prstGeom prst="rect">
                          <a:avLst/>
                        </a:prstGeom>
                        <a:noFill/>
                        <a:ln>
                          <a:noFill/>
                        </a:ln>
                      </wps:spPr>
                      <wps:style>
                        <a:lnRef idx="0"/>
                        <a:fillRef idx="0"/>
                        <a:effectRef idx="0"/>
                        <a:fontRef idx="minor"/>
                      </wps:style>
                      <wps:txbx>
                        <w:txbxContent>
                          <w:tbl>
                            <w:tblPr>
                              <w:tblW w:w="9039" w:type="dxa"/>
                              <w:jc w:val="left"/>
                              <w:tblInd w:w="108" w:type="dxa"/>
                              <w:tblBorders/>
                              <w:tblCellMar>
                                <w:top w:w="0" w:type="dxa"/>
                                <w:left w:w="108" w:type="dxa"/>
                                <w:bottom w:w="0" w:type="dxa"/>
                                <w:right w:w="108" w:type="dxa"/>
                              </w:tblCellMar>
                              <w:tblLook w:val="01e0" w:noVBand="0" w:noHBand="0" w:firstRow="1" w:lastRow="1" w:firstColumn="1" w:lastColumn="1"/>
                            </w:tblPr>
                            <w:tblGrid>
                              <w:gridCol w:w="9039"/>
                            </w:tblGrid>
                            <w:tr>
                              <w:trPr>
                                <w:trHeight w:val="429" w:hRule="atLeast"/>
                              </w:trPr>
                              <w:tc>
                                <w:tcPr>
                                  <w:tcW w:w="9039" w:type="dxa"/>
                                  <w:tcBorders/>
                                  <w:shd w:fill="auto" w:val="clear"/>
                                </w:tcPr>
                                <w:p>
                                  <w:pPr>
                                    <w:pStyle w:val="ListParagraph"/>
                                    <w:numPr>
                                      <w:ilvl w:val="0"/>
                                      <w:numId w:val="3"/>
                                    </w:numPr>
                                    <w:tabs>
                                      <w:tab w:val="left" w:pos="1260" w:leader="none"/>
                                    </w:tabs>
                                    <w:jc w:val="center"/>
                                    <w:rPr/>
                                  </w:pPr>
                                  <w:r>
                                    <w:rPr>
                                      <w:rFonts w:cs="Times New Roman" w:ascii="Times New Roman" w:hAnsi="Times New Roman"/>
                                      <w:b/>
                                      <w:color w:val="1A1A1A" w:themeColor="background1" w:themeShade="1a"/>
                                      <w:sz w:val="24"/>
                                      <w:szCs w:val="24"/>
                                      <w:lang w:val="uk-UA"/>
                                    </w:rPr>
                                    <w:t xml:space="preserve">Аналіз у секторі </w:t>
                                  </w:r>
                                  <w:r>
                                    <w:rPr>
                                      <w:rFonts w:cs="Times New Roman" w:ascii="Times New Roman" w:hAnsi="Times New Roman"/>
                                      <w:sz w:val="24"/>
                                      <w:szCs w:val="24"/>
                                      <w:lang w:val="ru-RU"/>
                                    </w:rPr>
                                    <w:t xml:space="preserve"> </w:t>
                                  </w:r>
                                  <w:r>
                                    <w:rPr>
                                      <w:rFonts w:cs="Times New Roman" w:ascii="Times New Roman" w:hAnsi="Times New Roman"/>
                                      <w:b/>
                                      <w:sz w:val="24"/>
                                      <w:szCs w:val="24"/>
                                      <w:lang w:val="ru-RU"/>
                                    </w:rPr>
                                    <w:t>«</w:t>
                                  </w:r>
                                  <w:r>
                                    <w:rPr>
                                      <w:rFonts w:cs="Times New Roman" w:ascii="Times New Roman" w:hAnsi="Times New Roman"/>
                                      <w:b/>
                                      <w:color w:val="1A1A1A" w:themeColor="background1" w:themeShade="1a"/>
                                      <w:sz w:val="24"/>
                                      <w:szCs w:val="24"/>
                                      <w:lang w:val="uk-UA"/>
                                    </w:rPr>
                                    <w:t>Порівняльні переваги»</w:t>
                                  </w:r>
                                </w:p>
                              </w:tc>
                            </w:tr>
                          </w:tbl>
                          <w:p>
                            <w:pPr>
                              <w:pStyle w:val="Style31"/>
                              <w:spacing w:before="0" w:after="200"/>
                              <w:rPr/>
                            </w:pPr>
                            <w:r>
                              <w:rPr/>
                            </w:r>
                          </w:p>
                        </w:txbxContent>
                      </wps:txbx>
                      <wps:bodyPr lIns="0" rIns="0" tIns="0" bIns="0">
                        <a:spAutoFit/>
                      </wps:bodyPr>
                    </wps:wsp>
                  </a:graphicData>
                </a:graphic>
              </wp:anchor>
            </w:drawing>
          </mc:Choice>
          <mc:Fallback>
            <w:pict>
              <v:rect id="shape_0" ID="Врезка5" stroked="f" style="position:absolute;margin-left:-5.4pt;margin-top:0.05pt;width:452.1pt;height:33.95pt">
                <w10:wrap type="none"/>
                <v:fill o:detectmouseclick="t" on="false"/>
                <v:stroke color="#3465a4" joinstyle="round" endcap="flat"/>
                <v:textbox>
                  <w:txbxContent>
                    <w:tbl>
                      <w:tblPr>
                        <w:tblW w:w="9039" w:type="dxa"/>
                        <w:jc w:val="left"/>
                        <w:tblInd w:w="108" w:type="dxa"/>
                        <w:tblBorders/>
                        <w:tblCellMar>
                          <w:top w:w="0" w:type="dxa"/>
                          <w:left w:w="108" w:type="dxa"/>
                          <w:bottom w:w="0" w:type="dxa"/>
                          <w:right w:w="108" w:type="dxa"/>
                        </w:tblCellMar>
                        <w:tblLook w:val="01e0" w:noVBand="0" w:noHBand="0" w:firstRow="1" w:lastRow="1" w:firstColumn="1" w:lastColumn="1"/>
                      </w:tblPr>
                      <w:tblGrid>
                        <w:gridCol w:w="9039"/>
                      </w:tblGrid>
                      <w:tr>
                        <w:trPr>
                          <w:trHeight w:val="429" w:hRule="atLeast"/>
                        </w:trPr>
                        <w:tc>
                          <w:tcPr>
                            <w:tcW w:w="9039" w:type="dxa"/>
                            <w:tcBorders/>
                            <w:shd w:fill="auto" w:val="clear"/>
                          </w:tcPr>
                          <w:p>
                            <w:pPr>
                              <w:pStyle w:val="ListParagraph"/>
                              <w:numPr>
                                <w:ilvl w:val="0"/>
                                <w:numId w:val="3"/>
                              </w:numPr>
                              <w:tabs>
                                <w:tab w:val="left" w:pos="1260" w:leader="none"/>
                              </w:tabs>
                              <w:jc w:val="center"/>
                              <w:rPr/>
                            </w:pPr>
                            <w:r>
                              <w:rPr>
                                <w:rFonts w:cs="Times New Roman" w:ascii="Times New Roman" w:hAnsi="Times New Roman"/>
                                <w:b/>
                                <w:color w:val="1A1A1A" w:themeColor="background1" w:themeShade="1a"/>
                                <w:sz w:val="24"/>
                                <w:szCs w:val="24"/>
                                <w:lang w:val="uk-UA"/>
                              </w:rPr>
                              <w:t xml:space="preserve">Аналіз у секторі </w:t>
                            </w:r>
                            <w:r>
                              <w:rPr>
                                <w:rFonts w:cs="Times New Roman" w:ascii="Times New Roman" w:hAnsi="Times New Roman"/>
                                <w:sz w:val="24"/>
                                <w:szCs w:val="24"/>
                                <w:lang w:val="ru-RU"/>
                              </w:rPr>
                              <w:t xml:space="preserve"> </w:t>
                            </w:r>
                            <w:r>
                              <w:rPr>
                                <w:rFonts w:cs="Times New Roman" w:ascii="Times New Roman" w:hAnsi="Times New Roman"/>
                                <w:b/>
                                <w:sz w:val="24"/>
                                <w:szCs w:val="24"/>
                                <w:lang w:val="ru-RU"/>
                              </w:rPr>
                              <w:t>«</w:t>
                            </w:r>
                            <w:r>
                              <w:rPr>
                                <w:rFonts w:cs="Times New Roman" w:ascii="Times New Roman" w:hAnsi="Times New Roman"/>
                                <w:b/>
                                <w:color w:val="1A1A1A" w:themeColor="background1" w:themeShade="1a"/>
                                <w:sz w:val="24"/>
                                <w:szCs w:val="24"/>
                                <w:lang w:val="uk-UA"/>
                              </w:rPr>
                              <w:t>Порівняльні переваги»</w:t>
                            </w:r>
                          </w:p>
                        </w:tc>
                      </w:tr>
                    </w:tbl>
                    <w:p>
                      <w:pPr>
                        <w:pStyle w:val="Style31"/>
                        <w:spacing w:before="0" w:after="200"/>
                        <w:rPr/>
                      </w:pPr>
                      <w:r>
                        <w:rPr/>
                      </w:r>
                    </w:p>
                  </w:txbxContent>
                </v:textbox>
              </v:rect>
            </w:pict>
          </mc:Fallback>
        </mc:AlternateContent>
      </w:r>
    </w:p>
    <w:p>
      <w:pPr>
        <w:pStyle w:val="Normal"/>
        <w:spacing w:lineRule="auto" w:line="240" w:before="120" w:after="0"/>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Порівняльні переваги</w:t>
      </w:r>
    </w:p>
    <w:p>
      <w:pPr>
        <w:pStyle w:val="Normal"/>
        <w:spacing w:lineRule="auto" w:line="240" w:before="0" w:after="120"/>
        <w:jc w:val="both"/>
        <w:rPr>
          <w:rFonts w:ascii="Times New Roman" w:hAnsi="Times New Roman" w:eastAsia="Times New Roman" w:cs="Times New Roman"/>
          <w:bCs/>
          <w:i/>
          <w:i/>
          <w:lang w:eastAsia="ru-RU"/>
        </w:rPr>
      </w:pPr>
      <w:r>
        <w:rPr>
          <w:rFonts w:eastAsia="Times New Roman" w:cs="Times New Roman" w:ascii="Times New Roman" w:hAnsi="Times New Roman"/>
          <w:bCs/>
          <w:i/>
          <w:lang w:eastAsia="ru-RU"/>
        </w:rPr>
        <w:t>(визначені в результаті аналізу сильних сторін і можливостей, рис. 10)</w:t>
      </w:r>
    </w:p>
    <w:p>
      <w:pPr>
        <w:pStyle w:val="Normal"/>
        <w:numPr>
          <w:ilvl w:val="0"/>
          <w:numId w:val="16"/>
        </w:numPr>
        <w:tabs>
          <w:tab w:val="left" w:pos="284" w:leader="none"/>
          <w:tab w:val="left" w:pos="2495" w:leader="none"/>
        </w:tabs>
        <w:suppressAutoHyphens w:val="true"/>
        <w:spacing w:lineRule="auto" w:line="240" w:before="0" w:after="0"/>
        <w:ind w:left="0" w:hanging="0"/>
        <w:jc w:val="both"/>
        <w:rPr>
          <w:rFonts w:ascii="Liberation Serif" w:hAnsi="Liberation Serif" w:eastAsia="Noto Sans CJK SC Regular" w:cs="FreeSans"/>
          <w:sz w:val="24"/>
          <w:szCs w:val="24"/>
          <w:lang w:eastAsia="zh-CN" w:bidi="hi-IN"/>
        </w:rPr>
      </w:pPr>
      <w:r>
        <w:rPr>
          <w:rFonts w:eastAsia="Noto Sans CJK SC Regular" w:cs="Times New Roman" w:ascii="Times New Roman" w:hAnsi="Times New Roman"/>
          <w:sz w:val="24"/>
          <w:szCs w:val="24"/>
          <w:lang w:eastAsia="zh-CN" w:bidi="hi-IN"/>
        </w:rPr>
        <w:t>Зростання інтересу до туризму на Херсонщині підтримується за рахунок сильних сторін - вигідного географічного положення та автошляхів, що проходять через територію громади, це надасть можливість збільшити проведення масштабних культурних та туристичних заходів, сприятиме розвитку малого авіаційного та парашутного спорту та збільшить попит на розвинення сфери послуг</w:t>
      </w:r>
    </w:p>
    <w:p>
      <w:pPr>
        <w:pStyle w:val="Normal"/>
        <w:numPr>
          <w:ilvl w:val="0"/>
          <w:numId w:val="16"/>
        </w:numPr>
        <w:tabs>
          <w:tab w:val="left" w:pos="284" w:leader="none"/>
          <w:tab w:val="left" w:pos="2495" w:leader="none"/>
        </w:tabs>
        <w:suppressAutoHyphens w:val="true"/>
        <w:spacing w:lineRule="auto" w:line="240" w:before="0" w:after="0"/>
        <w:ind w:left="0" w:hanging="0"/>
        <w:jc w:val="both"/>
        <w:rPr>
          <w:rFonts w:ascii="Liberation Serif" w:hAnsi="Liberation Serif" w:eastAsia="Noto Sans CJK SC Regular" w:cs="FreeSans"/>
          <w:sz w:val="24"/>
          <w:szCs w:val="24"/>
          <w:lang w:eastAsia="zh-CN" w:bidi="hi-IN"/>
        </w:rPr>
      </w:pPr>
      <w:r>
        <w:rPr>
          <w:rFonts w:eastAsia="Times New Roman" w:cs="Times New Roman" w:ascii="Times New Roman" w:hAnsi="Times New Roman"/>
          <w:sz w:val="24"/>
          <w:szCs w:val="24"/>
          <w:lang w:eastAsia="zh-CN" w:bidi="hi-IN"/>
        </w:rPr>
        <w:t xml:space="preserve"> </w:t>
      </w:r>
      <w:r>
        <w:rPr>
          <w:rFonts w:eastAsia="Noto Sans CJK SC Regular" w:cs="Times New Roman" w:ascii="Times New Roman" w:hAnsi="Times New Roman"/>
          <w:sz w:val="24"/>
          <w:szCs w:val="24"/>
          <w:lang w:eastAsia="zh-CN" w:bidi="hi-IN"/>
        </w:rPr>
        <w:t>Триваючий попит на агропродукцію в світі у сукупності з завершенням реконструкції автомагістралі М14, автодороги Р-47 матиме позитивний вплив на такі сильні переваги громади  як історична традицію промислового виробництва, річкових перевезень, виноробства, зрошуваного сільського господарства, торгівлі, також - ресурс земель для аграрного виробництва, наявність розвинутої меліоративної системи, автошляхів та потужних промислових підприємств.</w:t>
      </w:r>
    </w:p>
    <w:p>
      <w:pPr>
        <w:pStyle w:val="Normal"/>
        <w:numPr>
          <w:ilvl w:val="0"/>
          <w:numId w:val="16"/>
        </w:numPr>
        <w:tabs>
          <w:tab w:val="left" w:pos="284" w:leader="none"/>
          <w:tab w:val="left" w:pos="2495" w:leader="none"/>
        </w:tabs>
        <w:suppressAutoHyphens w:val="true"/>
        <w:spacing w:lineRule="auto" w:line="240" w:before="0" w:after="0"/>
        <w:ind w:left="0" w:hanging="0"/>
        <w:jc w:val="both"/>
        <w:rPr>
          <w:rFonts w:ascii="Liberation Serif" w:hAnsi="Liberation Serif" w:eastAsia="Noto Sans CJK SC Regular" w:cs="FreeSans"/>
          <w:sz w:val="24"/>
          <w:szCs w:val="24"/>
          <w:lang w:eastAsia="zh-CN" w:bidi="hi-IN"/>
        </w:rPr>
      </w:pPr>
      <w:r>
        <w:rPr>
          <w:rFonts w:eastAsia="Times New Roman" w:cs="Times New Roman" w:ascii="Times New Roman" w:hAnsi="Times New Roman"/>
          <w:sz w:val="24"/>
          <w:szCs w:val="24"/>
          <w:lang w:eastAsia="zh-CN" w:bidi="hi-IN"/>
        </w:rPr>
        <w:t xml:space="preserve"> </w:t>
      </w:r>
      <w:r>
        <w:rPr>
          <w:rFonts w:eastAsia="Noto Sans CJK SC Regular" w:cs="Times New Roman" w:ascii="Times New Roman" w:hAnsi="Times New Roman"/>
          <w:sz w:val="24"/>
          <w:szCs w:val="24"/>
          <w:lang w:eastAsia="zh-CN" w:bidi="hi-IN"/>
        </w:rPr>
        <w:t>Подальше зростання інвестиційної привабливості України та повна передача громаді повноважень використання земель за межами населених пунктів матиме додаткову перевагу у зацікавленості інвестувати в нашу громаду, маючи приклад наявних промислових підприємств з іноземними інвестиціями та вільні земельні ділянки.</w:t>
      </w:r>
    </w:p>
    <w:p>
      <w:pPr>
        <w:pStyle w:val="Normal"/>
        <w:numPr>
          <w:ilvl w:val="0"/>
          <w:numId w:val="16"/>
        </w:numPr>
        <w:tabs>
          <w:tab w:val="left" w:pos="284" w:leader="none"/>
          <w:tab w:val="left" w:pos="2495" w:leader="none"/>
        </w:tabs>
        <w:suppressAutoHyphens w:val="true"/>
        <w:spacing w:lineRule="auto" w:line="240" w:before="0" w:after="0"/>
        <w:ind w:left="0" w:hanging="0"/>
        <w:jc w:val="both"/>
        <w:rPr>
          <w:rFonts w:ascii="Liberation Serif" w:hAnsi="Liberation Serif" w:eastAsia="Noto Sans CJK SC Regular" w:cs="FreeSans"/>
          <w:sz w:val="24"/>
          <w:szCs w:val="24"/>
          <w:lang w:eastAsia="zh-CN" w:bidi="hi-IN"/>
        </w:rPr>
      </w:pPr>
      <w:r>
        <w:rPr>
          <w:rFonts w:eastAsia="Times New Roman" w:cs="Times New Roman" w:ascii="Times New Roman" w:hAnsi="Times New Roman"/>
          <w:sz w:val="24"/>
          <w:szCs w:val="24"/>
          <w:lang w:eastAsia="zh-CN" w:bidi="hi-IN"/>
        </w:rPr>
        <w:t xml:space="preserve"> </w:t>
      </w:r>
      <w:r>
        <w:rPr>
          <w:rFonts w:eastAsia="Noto Sans CJK SC Regular" w:cs="Times New Roman" w:ascii="Times New Roman" w:hAnsi="Times New Roman"/>
          <w:sz w:val="24"/>
          <w:szCs w:val="24"/>
          <w:lang w:eastAsia="zh-CN" w:bidi="hi-IN"/>
        </w:rPr>
        <w:t>Продовження підтримки проєктів міжнародної технічної допомоги надасть можливість активній молоді та громадським організаціям прийняти участь та реалізувати проекти, що сприятимуть соціальному, культурному розвитку громади та проекти для підтримки ЦНАПів, що сприятимуть покращенню адміністративних послуг.</w:t>
      </w:r>
    </w:p>
    <w:p>
      <w:pPr>
        <w:pStyle w:val="Normal"/>
        <w:spacing w:lineRule="auto" w:line="240" w:before="0" w:after="120"/>
        <w:ind w:left="142" w:hanging="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Normal"/>
        <w:spacing w:lineRule="auto" w:line="240" w:before="0" w:after="0"/>
        <w:rPr>
          <w:rFonts w:ascii="Times New Roman" w:hAnsi="Times New Roman" w:eastAsia="Times New Roman" w:cs="Times New Roman"/>
          <w:b/>
          <w:b/>
          <w:sz w:val="24"/>
          <w:szCs w:val="24"/>
          <w:lang w:eastAsia="ru-RU"/>
        </w:rPr>
      </w:pPr>
      <w:r>
        <w:rPr/>
        <w:drawing>
          <wp:inline distT="0" distB="0" distL="0" distR="0">
            <wp:extent cx="6391275" cy="5678170"/>
            <wp:effectExtent l="0" t="0" r="0" b="0"/>
            <wp:docPr id="23"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 descr=""/>
                    <pic:cNvPicPr>
                      <a:picLocks noChangeAspect="1" noChangeArrowheads="1"/>
                    </pic:cNvPicPr>
                  </pic:nvPicPr>
                  <pic:blipFill>
                    <a:blip r:embed="rId13"/>
                    <a:srcRect l="14295" t="6978" r="11699" b="6048"/>
                    <a:stretch>
                      <a:fillRect/>
                    </a:stretch>
                  </pic:blipFill>
                  <pic:spPr bwMode="auto">
                    <a:xfrm>
                      <a:off x="0" y="0"/>
                      <a:ext cx="6391275" cy="5678170"/>
                    </a:xfrm>
                    <a:prstGeom prst="rect">
                      <a:avLst/>
                    </a:prstGeom>
                  </pic:spPr>
                </pic:pic>
              </a:graphicData>
            </a:graphic>
          </wp:inline>
        </w:drawing>
      </w:r>
    </w:p>
    <w:p>
      <w:pPr>
        <w:pStyle w:val="Normal"/>
        <w:spacing w:lineRule="auto" w:line="240" w:before="0" w:after="0"/>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r>
    </w:p>
    <w:p>
      <w:pPr>
        <w:pStyle w:val="Normal"/>
        <w:spacing w:lineRule="auto" w:line="240" w:before="0" w:after="0"/>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mc:AlternateContent>
          <mc:Choice Requires="wps">
            <w:drawing>
              <wp:anchor behindDoc="0" distT="0" distB="0" distL="114300" distR="114300" simplePos="0" locked="0" layoutInCell="1" allowOverlap="1" relativeHeight="7">
                <wp:simplePos x="0" y="0"/>
                <wp:positionH relativeFrom="column">
                  <wp:posOffset>-68580</wp:posOffset>
                </wp:positionH>
                <wp:positionV relativeFrom="paragraph">
                  <wp:posOffset>635</wp:posOffset>
                </wp:positionV>
                <wp:extent cx="5742940" cy="335280"/>
                <wp:effectExtent l="0" t="0" r="0" b="0"/>
                <wp:wrapSquare wrapText="bothSides"/>
                <wp:docPr id="24" name="Врезка6"/>
                <a:graphic xmlns:a="http://schemas.openxmlformats.org/drawingml/2006/main">
                  <a:graphicData uri="http://schemas.microsoft.com/office/word/2010/wordprocessingShape">
                    <wps:wsp>
                      <wps:cNvSpPr/>
                      <wps:spPr>
                        <a:xfrm>
                          <a:off x="0" y="0"/>
                          <a:ext cx="5742360" cy="334800"/>
                        </a:xfrm>
                        <a:prstGeom prst="rect">
                          <a:avLst/>
                        </a:prstGeom>
                        <a:noFill/>
                        <a:ln>
                          <a:noFill/>
                        </a:ln>
                      </wps:spPr>
                      <wps:style>
                        <a:lnRef idx="0"/>
                        <a:fillRef idx="0"/>
                        <a:effectRef idx="0"/>
                        <a:fontRef idx="minor"/>
                      </wps:style>
                      <wps:txbx>
                        <w:txbxContent>
                          <w:tbl>
                            <w:tblPr>
                              <w:tblW w:w="9039" w:type="dxa"/>
                              <w:jc w:val="left"/>
                              <w:tblInd w:w="108" w:type="dxa"/>
                              <w:tblBorders/>
                              <w:tblCellMar>
                                <w:top w:w="0" w:type="dxa"/>
                                <w:left w:w="108" w:type="dxa"/>
                                <w:bottom w:w="0" w:type="dxa"/>
                                <w:right w:w="108" w:type="dxa"/>
                              </w:tblCellMar>
                              <w:tblLook w:val="01e0" w:noVBand="0" w:noHBand="0" w:firstRow="1" w:lastRow="1" w:firstColumn="1" w:lastColumn="1"/>
                            </w:tblPr>
                            <w:tblGrid>
                              <w:gridCol w:w="9039"/>
                            </w:tblGrid>
                            <w:tr>
                              <w:trPr/>
                              <w:tc>
                                <w:tcPr>
                                  <w:tcW w:w="9039" w:type="dxa"/>
                                  <w:tcBorders/>
                                  <w:shd w:fill="auto" w:val="clear"/>
                                </w:tcPr>
                                <w:p>
                                  <w:pPr>
                                    <w:pStyle w:val="ListParagraph"/>
                                    <w:numPr>
                                      <w:ilvl w:val="0"/>
                                      <w:numId w:val="3"/>
                                    </w:numPr>
                                    <w:tabs>
                                      <w:tab w:val="left" w:pos="1260" w:leader="none"/>
                                    </w:tabs>
                                    <w:jc w:val="center"/>
                                    <w:rPr/>
                                  </w:pPr>
                                  <w:r>
                                    <w:rPr>
                                      <w:rFonts w:cs="Times New Roman" w:ascii="Times New Roman" w:hAnsi="Times New Roman"/>
                                      <w:b/>
                                      <w:color w:val="1A1A1A" w:themeColor="background1" w:themeShade="1a"/>
                                      <w:sz w:val="24"/>
                                      <w:szCs w:val="24"/>
                                      <w:lang w:val="uk-UA"/>
                                    </w:rPr>
                                    <w:t xml:space="preserve">Аналіз у секторі </w:t>
                                  </w:r>
                                  <w:r>
                                    <w:rPr>
                                      <w:rFonts w:cs="Times New Roman" w:ascii="Times New Roman" w:hAnsi="Times New Roman"/>
                                      <w:sz w:val="24"/>
                                      <w:szCs w:val="24"/>
                                      <w:lang w:val="ru-RU"/>
                                    </w:rPr>
                                    <w:t xml:space="preserve"> </w:t>
                                  </w:r>
                                  <w:r>
                                    <w:rPr>
                                      <w:rFonts w:cs="Times New Roman" w:ascii="Times New Roman" w:hAnsi="Times New Roman"/>
                                      <w:b/>
                                      <w:sz w:val="24"/>
                                      <w:szCs w:val="24"/>
                                      <w:lang w:val="ru-RU"/>
                                    </w:rPr>
                                    <w:t>«</w:t>
                                  </w:r>
                                  <w:bookmarkStart w:id="63" w:name="_Hlk212375801"/>
                                  <w:bookmarkEnd w:id="63"/>
                                  <w:r>
                                    <w:rPr>
                                      <w:rFonts w:cs="Times New Roman" w:ascii="Times New Roman" w:hAnsi="Times New Roman"/>
                                      <w:b/>
                                      <w:color w:val="1A1A1A" w:themeColor="background1" w:themeShade="1a"/>
                                      <w:sz w:val="24"/>
                                      <w:szCs w:val="24"/>
                                      <w:lang w:val="uk-UA"/>
                                    </w:rPr>
                                    <w:t>Виклики»</w:t>
                                  </w:r>
                                </w:p>
                              </w:tc>
                            </w:tr>
                          </w:tbl>
                          <w:p>
                            <w:pPr>
                              <w:pStyle w:val="Style31"/>
                              <w:spacing w:before="0" w:after="200"/>
                              <w:rPr/>
                            </w:pPr>
                            <w:r>
                              <w:rPr/>
                            </w:r>
                          </w:p>
                        </w:txbxContent>
                      </wps:txbx>
                      <wps:bodyPr lIns="0" rIns="0" tIns="0" bIns="0">
                        <a:spAutoFit/>
                      </wps:bodyPr>
                    </wps:wsp>
                  </a:graphicData>
                </a:graphic>
              </wp:anchor>
            </w:drawing>
          </mc:Choice>
          <mc:Fallback>
            <w:pict>
              <v:rect id="shape_0" ID="Врезка6" stroked="f" style="position:absolute;margin-left:-5.4pt;margin-top:0.05pt;width:452.1pt;height:26.3pt">
                <w10:wrap type="none"/>
                <v:fill o:detectmouseclick="t" on="false"/>
                <v:stroke color="#3465a4" joinstyle="round" endcap="flat"/>
                <v:textbox>
                  <w:txbxContent>
                    <w:tbl>
                      <w:tblPr>
                        <w:tblW w:w="9039" w:type="dxa"/>
                        <w:jc w:val="left"/>
                        <w:tblInd w:w="108" w:type="dxa"/>
                        <w:tblBorders/>
                        <w:tblCellMar>
                          <w:top w:w="0" w:type="dxa"/>
                          <w:left w:w="108" w:type="dxa"/>
                          <w:bottom w:w="0" w:type="dxa"/>
                          <w:right w:w="108" w:type="dxa"/>
                        </w:tblCellMar>
                        <w:tblLook w:val="01e0" w:noVBand="0" w:noHBand="0" w:firstRow="1" w:lastRow="1" w:firstColumn="1" w:lastColumn="1"/>
                      </w:tblPr>
                      <w:tblGrid>
                        <w:gridCol w:w="9039"/>
                      </w:tblGrid>
                      <w:tr>
                        <w:trPr/>
                        <w:tc>
                          <w:tcPr>
                            <w:tcW w:w="9039" w:type="dxa"/>
                            <w:tcBorders/>
                            <w:shd w:fill="auto" w:val="clear"/>
                          </w:tcPr>
                          <w:p>
                            <w:pPr>
                              <w:pStyle w:val="ListParagraph"/>
                              <w:numPr>
                                <w:ilvl w:val="0"/>
                                <w:numId w:val="3"/>
                              </w:numPr>
                              <w:tabs>
                                <w:tab w:val="left" w:pos="1260" w:leader="none"/>
                              </w:tabs>
                              <w:jc w:val="center"/>
                              <w:rPr/>
                            </w:pPr>
                            <w:r>
                              <w:rPr>
                                <w:rFonts w:cs="Times New Roman" w:ascii="Times New Roman" w:hAnsi="Times New Roman"/>
                                <w:b/>
                                <w:color w:val="1A1A1A" w:themeColor="background1" w:themeShade="1a"/>
                                <w:sz w:val="24"/>
                                <w:szCs w:val="24"/>
                                <w:lang w:val="uk-UA"/>
                              </w:rPr>
                              <w:t xml:space="preserve">Аналіз у секторі </w:t>
                            </w:r>
                            <w:r>
                              <w:rPr>
                                <w:rFonts w:cs="Times New Roman" w:ascii="Times New Roman" w:hAnsi="Times New Roman"/>
                                <w:sz w:val="24"/>
                                <w:szCs w:val="24"/>
                                <w:lang w:val="ru-RU"/>
                              </w:rPr>
                              <w:t xml:space="preserve"> </w:t>
                            </w:r>
                            <w:r>
                              <w:rPr>
                                <w:rFonts w:cs="Times New Roman" w:ascii="Times New Roman" w:hAnsi="Times New Roman"/>
                                <w:b/>
                                <w:sz w:val="24"/>
                                <w:szCs w:val="24"/>
                                <w:lang w:val="ru-RU"/>
                              </w:rPr>
                              <w:t>«</w:t>
                            </w:r>
                            <w:bookmarkStart w:id="64" w:name="_Hlk212375801"/>
                            <w:bookmarkEnd w:id="64"/>
                            <w:r>
                              <w:rPr>
                                <w:rFonts w:cs="Times New Roman" w:ascii="Times New Roman" w:hAnsi="Times New Roman"/>
                                <w:b/>
                                <w:color w:val="1A1A1A" w:themeColor="background1" w:themeShade="1a"/>
                                <w:sz w:val="24"/>
                                <w:szCs w:val="24"/>
                                <w:lang w:val="uk-UA"/>
                              </w:rPr>
                              <w:t>Виклики»</w:t>
                            </w:r>
                          </w:p>
                        </w:tc>
                      </w:tr>
                    </w:tbl>
                    <w:p>
                      <w:pPr>
                        <w:pStyle w:val="Style31"/>
                        <w:spacing w:before="0" w:after="200"/>
                        <w:rPr/>
                      </w:pPr>
                      <w:r>
                        <w:rPr/>
                      </w:r>
                    </w:p>
                  </w:txbxContent>
                </v:textbox>
              </v:rect>
            </w:pict>
          </mc:Fallback>
        </mc:AlternateContent>
      </w:r>
    </w:p>
    <w:p>
      <w:pPr>
        <w:pStyle w:val="Normal"/>
        <w:spacing w:lineRule="auto" w:line="240" w:before="0" w:after="0"/>
        <w:ind w:firstLine="709"/>
        <w:jc w:val="both"/>
        <w:rPr>
          <w:rFonts w:ascii="Times New Roman" w:hAnsi="Times New Roman" w:eastAsia="Calibri" w:cs="Times New Roman"/>
          <w:color w:val="0D0D0D" w:themeColor="text1" w:themeTint="f2"/>
          <w:sz w:val="24"/>
          <w:szCs w:val="24"/>
        </w:rPr>
      </w:pPr>
      <w:r>
        <w:rPr>
          <w:rFonts w:eastAsia="Calibri" w:cs="Times New Roman" w:ascii="Times New Roman" w:hAnsi="Times New Roman"/>
          <w:color w:val="0D0D0D" w:themeColor="text1" w:themeTint="f2"/>
          <w:sz w:val="24"/>
          <w:szCs w:val="24"/>
        </w:rPr>
      </w:r>
    </w:p>
    <w:p>
      <w:pPr>
        <w:pStyle w:val="Normal"/>
        <w:spacing w:lineRule="auto" w:line="240" w:before="0" w:after="0"/>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Виклики</w:t>
      </w:r>
    </w:p>
    <w:p>
      <w:pPr>
        <w:pStyle w:val="Normal"/>
        <w:spacing w:lineRule="auto" w:line="240" w:before="0" w:after="120"/>
        <w:jc w:val="both"/>
        <w:rPr>
          <w:rFonts w:ascii="Times New Roman" w:hAnsi="Times New Roman" w:eastAsia="Times New Roman" w:cs="Times New Roman"/>
          <w:bCs/>
          <w:i/>
          <w:i/>
          <w:lang w:eastAsia="ru-RU"/>
        </w:rPr>
      </w:pPr>
      <w:r>
        <w:rPr>
          <w:rFonts w:eastAsia="Times New Roman" w:cs="Times New Roman" w:ascii="Times New Roman" w:hAnsi="Times New Roman"/>
          <w:bCs/>
          <w:i/>
          <w:lang w:eastAsia="ru-RU"/>
        </w:rPr>
        <w:t>(визначені в результаті аналізу слабких сторін і можливостей, рис.</w:t>
      </w:r>
      <w:r>
        <w:rPr>
          <w:rFonts w:eastAsia="Times New Roman" w:cs="Times New Roman" w:ascii="Times New Roman" w:hAnsi="Times New Roman"/>
          <w:bCs/>
          <w:i/>
          <w:lang w:val="ru-RU" w:eastAsia="ru-RU"/>
        </w:rPr>
        <w:t>11</w:t>
      </w:r>
      <w:r>
        <w:rPr>
          <w:rFonts w:eastAsia="Times New Roman" w:cs="Times New Roman" w:ascii="Times New Roman" w:hAnsi="Times New Roman"/>
          <w:bCs/>
          <w:i/>
          <w:lang w:eastAsia="ru-RU"/>
        </w:rPr>
        <w:t>)</w:t>
      </w:r>
    </w:p>
    <w:p>
      <w:pPr>
        <w:pStyle w:val="Normal"/>
        <w:numPr>
          <w:ilvl w:val="0"/>
          <w:numId w:val="16"/>
        </w:numPr>
        <w:tabs>
          <w:tab w:val="left" w:pos="284" w:leader="none"/>
          <w:tab w:val="left" w:pos="2495" w:leader="none"/>
        </w:tabs>
        <w:suppressAutoHyphens w:val="true"/>
        <w:spacing w:lineRule="auto" w:line="240" w:before="0" w:after="0"/>
        <w:ind w:left="0" w:hanging="0"/>
        <w:jc w:val="both"/>
        <w:rPr>
          <w:rFonts w:ascii="Times New Roman" w:hAnsi="Times New Roman" w:eastAsia="Noto Sans CJK SC Regular" w:cs="Times New Roman"/>
          <w:sz w:val="24"/>
          <w:szCs w:val="24"/>
          <w:lang w:eastAsia="zh-CN" w:bidi="hi-IN"/>
        </w:rPr>
      </w:pPr>
      <w:r>
        <w:rPr>
          <w:rFonts w:eastAsia="Noto Sans CJK SC Regular" w:cs="Times New Roman" w:ascii="Times New Roman" w:hAnsi="Times New Roman"/>
          <w:sz w:val="24"/>
          <w:szCs w:val="24"/>
          <w:lang w:eastAsia="zh-CN" w:bidi="hi-IN"/>
        </w:rPr>
        <w:t>Незавершену інвентаризацію земель та комерційної нерухомості можливо буде оперативніше вирішити за рахунок повної передачі громаді повноважень за межами населених пунктів</w:t>
      </w:r>
    </w:p>
    <w:p>
      <w:pPr>
        <w:pStyle w:val="Normal"/>
        <w:numPr>
          <w:ilvl w:val="0"/>
          <w:numId w:val="16"/>
        </w:numPr>
        <w:tabs>
          <w:tab w:val="left" w:pos="284" w:leader="none"/>
          <w:tab w:val="left" w:pos="2495" w:leader="none"/>
        </w:tabs>
        <w:suppressAutoHyphens w:val="true"/>
        <w:spacing w:lineRule="auto" w:line="240" w:before="0" w:after="0"/>
        <w:ind w:left="0" w:hanging="0"/>
        <w:jc w:val="both"/>
        <w:rPr>
          <w:rFonts w:ascii="Times New Roman" w:hAnsi="Times New Roman" w:eastAsia="Noto Sans CJK SC Regular" w:cs="Times New Roman"/>
          <w:sz w:val="24"/>
          <w:szCs w:val="24"/>
          <w:lang w:eastAsia="zh-CN" w:bidi="hi-IN"/>
        </w:rPr>
      </w:pPr>
      <w:r>
        <w:rPr>
          <w:rFonts w:eastAsia="Noto Sans CJK SC Regular" w:cs="Times New Roman" w:ascii="Times New Roman" w:hAnsi="Times New Roman"/>
          <w:sz w:val="24"/>
          <w:szCs w:val="24"/>
          <w:lang w:eastAsia="zh-CN" w:bidi="hi-IN"/>
        </w:rPr>
        <w:t xml:space="preserve"> </w:t>
      </w:r>
      <w:r>
        <w:rPr>
          <w:rFonts w:eastAsia="Noto Sans CJK SC Regular" w:cs="Times New Roman" w:ascii="Times New Roman" w:hAnsi="Times New Roman"/>
          <w:sz w:val="24"/>
          <w:szCs w:val="24"/>
          <w:lang w:eastAsia="zh-CN" w:bidi="hi-IN"/>
        </w:rPr>
        <w:t>За рахунок таких зовнішніх можливостей, як продовження підтримки громад з боку держави, проектів міжнародної технічної допомоги, державної субвенції можливе вирішення питань щодо ремонту комунальних будівель, розвинення та оновлення спортивної інфраструктури, центрів дозвілля, громадської безпеки, реконструкції та будівництва вуличного освітлення та досконалої системи поводження з ТПВ, зменшення навантаженості на бюджет</w:t>
      </w:r>
    </w:p>
    <w:p>
      <w:pPr>
        <w:pStyle w:val="Normal"/>
        <w:numPr>
          <w:ilvl w:val="0"/>
          <w:numId w:val="16"/>
        </w:numPr>
        <w:tabs>
          <w:tab w:val="left" w:pos="284" w:leader="none"/>
          <w:tab w:val="left" w:pos="2495" w:leader="none"/>
        </w:tabs>
        <w:suppressAutoHyphens w:val="true"/>
        <w:spacing w:lineRule="auto" w:line="240" w:before="0" w:after="0"/>
        <w:ind w:left="0" w:hanging="0"/>
        <w:jc w:val="both"/>
        <w:rPr>
          <w:rFonts w:ascii="Times New Roman" w:hAnsi="Times New Roman" w:eastAsia="Noto Sans CJK SC Regular" w:cs="Times New Roman"/>
          <w:sz w:val="24"/>
          <w:szCs w:val="24"/>
          <w:lang w:eastAsia="zh-CN" w:bidi="hi-IN"/>
        </w:rPr>
      </w:pPr>
      <w:r>
        <w:rPr>
          <w:rFonts w:eastAsia="Noto Sans CJK SC Regular" w:cs="Times New Roman" w:ascii="Times New Roman" w:hAnsi="Times New Roman"/>
          <w:sz w:val="24"/>
          <w:szCs w:val="24"/>
          <w:lang w:eastAsia="zh-CN" w:bidi="hi-IN"/>
        </w:rPr>
        <w:t>Зростання інтересу до туризму на Херсонщині, який дасть початок розвитку галузі туризму потребує розширення мережі місць та центрів дозвілля та задовільного стану доріг.</w:t>
      </w:r>
    </w:p>
    <w:p>
      <w:pPr>
        <w:pStyle w:val="Normal"/>
        <w:tabs>
          <w:tab w:val="left" w:pos="284" w:leader="none"/>
          <w:tab w:val="left" w:pos="2495" w:leader="none"/>
        </w:tabs>
        <w:suppressAutoHyphens w:val="true"/>
        <w:spacing w:lineRule="auto" w:line="240" w:before="0" w:after="0"/>
        <w:jc w:val="both"/>
        <w:rPr>
          <w:rFonts w:ascii="Times New Roman" w:hAnsi="Times New Roman" w:eastAsia="Noto Sans CJK SC Regular" w:cs="Times New Roman"/>
          <w:sz w:val="24"/>
          <w:szCs w:val="24"/>
          <w:lang w:eastAsia="zh-CN" w:bidi="hi-IN"/>
        </w:rPr>
      </w:pPr>
      <w:bookmarkStart w:id="65" w:name="_Hlk38639926"/>
      <w:bookmarkStart w:id="66" w:name="_Hlk38639926"/>
      <w:bookmarkEnd w:id="66"/>
      <w:r>
        <w:rPr>
          <w:rFonts w:eastAsia="Noto Sans CJK SC Regular" w:cs="Times New Roman" w:ascii="Times New Roman" w:hAnsi="Times New Roman"/>
          <w:sz w:val="24"/>
          <w:szCs w:val="24"/>
          <w:lang w:eastAsia="zh-CN" w:bidi="hi-IN"/>
        </w:rPr>
      </w:r>
    </w:p>
    <w:p>
      <w:pPr>
        <w:pStyle w:val="Normal"/>
        <w:spacing w:lineRule="auto" w:line="240" w:before="0" w:after="0"/>
        <w:rPr>
          <w:rFonts w:ascii="Times New Roman" w:hAnsi="Times New Roman" w:eastAsia="Times New Roman" w:cs="Times New Roman"/>
          <w:b/>
          <w:b/>
          <w:sz w:val="24"/>
          <w:szCs w:val="24"/>
          <w:lang w:eastAsia="ru-RU"/>
        </w:rPr>
      </w:pPr>
      <w:r>
        <w:rPr/>
        <w:drawing>
          <wp:inline distT="0" distB="0" distL="0" distR="0">
            <wp:extent cx="6283325" cy="4816475"/>
            <wp:effectExtent l="0" t="0" r="0" b="0"/>
            <wp:docPr id="26"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17" descr=""/>
                    <pic:cNvPicPr>
                      <a:picLocks noChangeAspect="1" noChangeArrowheads="1"/>
                    </pic:cNvPicPr>
                  </pic:nvPicPr>
                  <pic:blipFill>
                    <a:blip r:embed="rId14"/>
                    <a:srcRect l="17308" t="10019" r="15323" b="11023"/>
                    <a:stretch>
                      <a:fillRect/>
                    </a:stretch>
                  </pic:blipFill>
                  <pic:spPr bwMode="auto">
                    <a:xfrm>
                      <a:off x="0" y="0"/>
                      <a:ext cx="6283325" cy="4816475"/>
                    </a:xfrm>
                    <a:prstGeom prst="rect">
                      <a:avLst/>
                    </a:prstGeom>
                  </pic:spPr>
                </pic:pic>
              </a:graphicData>
            </a:graphic>
          </wp:inline>
        </w:drawing>
      </w:r>
    </w:p>
    <w:p>
      <w:pPr>
        <w:pStyle w:val="Normal"/>
        <w:rPr>
          <w:rFonts w:ascii="Times New Roman" w:hAnsi="Times New Roman" w:cs="Times New Roman"/>
        </w:rPr>
      </w:pPr>
      <w:r>
        <w:rPr>
          <w:rFonts w:cs="Times New Roman" w:ascii="Times New Roman" w:hAnsi="Times New Roman"/>
        </w:rPr>
        <mc:AlternateContent>
          <mc:Choice Requires="wps">
            <w:drawing>
              <wp:anchor behindDoc="0" distT="0" distB="0" distL="114300" distR="114300" simplePos="0" locked="0" layoutInCell="1" allowOverlap="1" relativeHeight="8">
                <wp:simplePos x="0" y="0"/>
                <wp:positionH relativeFrom="column">
                  <wp:posOffset>-68580</wp:posOffset>
                </wp:positionH>
                <wp:positionV relativeFrom="paragraph">
                  <wp:posOffset>635</wp:posOffset>
                </wp:positionV>
                <wp:extent cx="5742940" cy="335280"/>
                <wp:effectExtent l="0" t="0" r="0" b="0"/>
                <wp:wrapSquare wrapText="bothSides"/>
                <wp:docPr id="27" name="Врезка7"/>
                <a:graphic xmlns:a="http://schemas.openxmlformats.org/drawingml/2006/main">
                  <a:graphicData uri="http://schemas.microsoft.com/office/word/2010/wordprocessingShape">
                    <wps:wsp>
                      <wps:cNvSpPr/>
                      <wps:spPr>
                        <a:xfrm>
                          <a:off x="0" y="0"/>
                          <a:ext cx="5742360" cy="334800"/>
                        </a:xfrm>
                        <a:prstGeom prst="rect">
                          <a:avLst/>
                        </a:prstGeom>
                        <a:noFill/>
                        <a:ln>
                          <a:noFill/>
                        </a:ln>
                      </wps:spPr>
                      <wps:style>
                        <a:lnRef idx="0"/>
                        <a:fillRef idx="0"/>
                        <a:effectRef idx="0"/>
                        <a:fontRef idx="minor"/>
                      </wps:style>
                      <wps:txbx>
                        <w:txbxContent>
                          <w:tbl>
                            <w:tblPr>
                              <w:tblW w:w="9039" w:type="dxa"/>
                              <w:jc w:val="left"/>
                              <w:tblInd w:w="108" w:type="dxa"/>
                              <w:tblBorders/>
                              <w:tblCellMar>
                                <w:top w:w="0" w:type="dxa"/>
                                <w:left w:w="108" w:type="dxa"/>
                                <w:bottom w:w="0" w:type="dxa"/>
                                <w:right w:w="108" w:type="dxa"/>
                              </w:tblCellMar>
                              <w:tblLook w:val="01e0" w:noVBand="0" w:noHBand="0" w:firstRow="1" w:lastRow="1" w:firstColumn="1" w:lastColumn="1"/>
                            </w:tblPr>
                            <w:tblGrid>
                              <w:gridCol w:w="9039"/>
                            </w:tblGrid>
                            <w:tr>
                              <w:trPr/>
                              <w:tc>
                                <w:tcPr>
                                  <w:tcW w:w="9039" w:type="dxa"/>
                                  <w:tcBorders/>
                                  <w:shd w:fill="auto" w:val="clear"/>
                                </w:tcPr>
                                <w:p>
                                  <w:pPr>
                                    <w:pStyle w:val="ListParagraph"/>
                                    <w:numPr>
                                      <w:ilvl w:val="0"/>
                                      <w:numId w:val="3"/>
                                    </w:numPr>
                                    <w:tabs>
                                      <w:tab w:val="left" w:pos="1260" w:leader="none"/>
                                    </w:tabs>
                                    <w:jc w:val="center"/>
                                    <w:rPr/>
                                  </w:pPr>
                                  <w:r>
                                    <w:rPr>
                                      <w:rFonts w:cs="Times New Roman" w:ascii="Times New Roman" w:hAnsi="Times New Roman"/>
                                      <w:b/>
                                      <w:color w:val="1A1A1A" w:themeColor="background1" w:themeShade="1a"/>
                                      <w:sz w:val="24"/>
                                      <w:szCs w:val="24"/>
                                      <w:lang w:val="uk-UA"/>
                                    </w:rPr>
                                    <w:t xml:space="preserve">Аналіз у секторі </w:t>
                                  </w:r>
                                  <w:r>
                                    <w:rPr>
                                      <w:rFonts w:cs="Times New Roman" w:ascii="Times New Roman" w:hAnsi="Times New Roman"/>
                                      <w:sz w:val="24"/>
                                      <w:szCs w:val="24"/>
                                      <w:lang w:val="ru-RU"/>
                                    </w:rPr>
                                    <w:t xml:space="preserve"> </w:t>
                                  </w:r>
                                  <w:r>
                                    <w:rPr>
                                      <w:rFonts w:cs="Times New Roman" w:ascii="Times New Roman" w:hAnsi="Times New Roman"/>
                                      <w:b/>
                                      <w:sz w:val="24"/>
                                      <w:szCs w:val="24"/>
                                      <w:lang w:val="ru-RU"/>
                                    </w:rPr>
                                    <w:t>«</w:t>
                                  </w:r>
                                  <w:r>
                                    <w:rPr>
                                      <w:rFonts w:cs="Times New Roman" w:ascii="Times New Roman" w:hAnsi="Times New Roman"/>
                                      <w:b/>
                                      <w:color w:val="1A1A1A" w:themeColor="background1" w:themeShade="1a"/>
                                      <w:sz w:val="24"/>
                                      <w:szCs w:val="24"/>
                                      <w:lang w:val="uk-UA"/>
                                    </w:rPr>
                                    <w:t>Ризики»</w:t>
                                  </w:r>
                                </w:p>
                              </w:tc>
                            </w:tr>
                          </w:tbl>
                          <w:p>
                            <w:pPr>
                              <w:pStyle w:val="Style31"/>
                              <w:spacing w:before="0" w:after="200"/>
                              <w:rPr/>
                            </w:pPr>
                            <w:r>
                              <w:rPr/>
                            </w:r>
                          </w:p>
                        </w:txbxContent>
                      </wps:txbx>
                      <wps:bodyPr lIns="0" rIns="0" tIns="0" bIns="0">
                        <a:spAutoFit/>
                      </wps:bodyPr>
                    </wps:wsp>
                  </a:graphicData>
                </a:graphic>
              </wp:anchor>
            </w:drawing>
          </mc:Choice>
          <mc:Fallback>
            <w:pict>
              <v:rect id="shape_0" ID="Врезка7" stroked="f" style="position:absolute;margin-left:-5.4pt;margin-top:0.05pt;width:452.1pt;height:26.3pt">
                <w10:wrap type="none"/>
                <v:fill o:detectmouseclick="t" on="false"/>
                <v:stroke color="#3465a4" joinstyle="round" endcap="flat"/>
                <v:textbox>
                  <w:txbxContent>
                    <w:tbl>
                      <w:tblPr>
                        <w:tblW w:w="9039" w:type="dxa"/>
                        <w:jc w:val="left"/>
                        <w:tblInd w:w="108" w:type="dxa"/>
                        <w:tblBorders/>
                        <w:tblCellMar>
                          <w:top w:w="0" w:type="dxa"/>
                          <w:left w:w="108" w:type="dxa"/>
                          <w:bottom w:w="0" w:type="dxa"/>
                          <w:right w:w="108" w:type="dxa"/>
                        </w:tblCellMar>
                        <w:tblLook w:val="01e0" w:noVBand="0" w:noHBand="0" w:firstRow="1" w:lastRow="1" w:firstColumn="1" w:lastColumn="1"/>
                      </w:tblPr>
                      <w:tblGrid>
                        <w:gridCol w:w="9039"/>
                      </w:tblGrid>
                      <w:tr>
                        <w:trPr/>
                        <w:tc>
                          <w:tcPr>
                            <w:tcW w:w="9039" w:type="dxa"/>
                            <w:tcBorders/>
                            <w:shd w:fill="auto" w:val="clear"/>
                          </w:tcPr>
                          <w:p>
                            <w:pPr>
                              <w:pStyle w:val="ListParagraph"/>
                              <w:numPr>
                                <w:ilvl w:val="0"/>
                                <w:numId w:val="3"/>
                              </w:numPr>
                              <w:tabs>
                                <w:tab w:val="left" w:pos="1260" w:leader="none"/>
                              </w:tabs>
                              <w:jc w:val="center"/>
                              <w:rPr/>
                            </w:pPr>
                            <w:r>
                              <w:rPr>
                                <w:rFonts w:cs="Times New Roman" w:ascii="Times New Roman" w:hAnsi="Times New Roman"/>
                                <w:b/>
                                <w:color w:val="1A1A1A" w:themeColor="background1" w:themeShade="1a"/>
                                <w:sz w:val="24"/>
                                <w:szCs w:val="24"/>
                                <w:lang w:val="uk-UA"/>
                              </w:rPr>
                              <w:t xml:space="preserve">Аналіз у секторі </w:t>
                            </w:r>
                            <w:r>
                              <w:rPr>
                                <w:rFonts w:cs="Times New Roman" w:ascii="Times New Roman" w:hAnsi="Times New Roman"/>
                                <w:sz w:val="24"/>
                                <w:szCs w:val="24"/>
                                <w:lang w:val="ru-RU"/>
                              </w:rPr>
                              <w:t xml:space="preserve"> </w:t>
                            </w:r>
                            <w:r>
                              <w:rPr>
                                <w:rFonts w:cs="Times New Roman" w:ascii="Times New Roman" w:hAnsi="Times New Roman"/>
                                <w:b/>
                                <w:sz w:val="24"/>
                                <w:szCs w:val="24"/>
                                <w:lang w:val="ru-RU"/>
                              </w:rPr>
                              <w:t>«</w:t>
                            </w:r>
                            <w:r>
                              <w:rPr>
                                <w:rFonts w:cs="Times New Roman" w:ascii="Times New Roman" w:hAnsi="Times New Roman"/>
                                <w:b/>
                                <w:color w:val="1A1A1A" w:themeColor="background1" w:themeShade="1a"/>
                                <w:sz w:val="24"/>
                                <w:szCs w:val="24"/>
                                <w:lang w:val="uk-UA"/>
                              </w:rPr>
                              <w:t>Ризики»</w:t>
                            </w:r>
                          </w:p>
                        </w:tc>
                      </w:tr>
                    </w:tbl>
                    <w:p>
                      <w:pPr>
                        <w:pStyle w:val="Style31"/>
                        <w:spacing w:before="0" w:after="200"/>
                        <w:rPr/>
                      </w:pPr>
                      <w:r>
                        <w:rPr/>
                      </w:r>
                    </w:p>
                  </w:txbxContent>
                </v:textbox>
              </v:rect>
            </w:pict>
          </mc:Fallback>
        </mc:AlternateContent>
      </w:r>
    </w:p>
    <w:p>
      <w:pPr>
        <w:pStyle w:val="Normal"/>
        <w:spacing w:lineRule="auto" w:line="240" w:before="0" w:after="0"/>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Ризики</w:t>
      </w:r>
    </w:p>
    <w:p>
      <w:pPr>
        <w:pStyle w:val="Normal"/>
        <w:spacing w:lineRule="auto" w:line="240" w:before="0" w:after="120"/>
        <w:jc w:val="both"/>
        <w:rPr>
          <w:rFonts w:ascii="Times New Roman" w:hAnsi="Times New Roman" w:eastAsia="Times New Roman" w:cs="Times New Roman"/>
          <w:bCs/>
          <w:i/>
          <w:i/>
          <w:lang w:eastAsia="ru-RU"/>
        </w:rPr>
      </w:pPr>
      <w:r>
        <w:rPr>
          <w:rFonts w:eastAsia="Times New Roman" w:cs="Times New Roman" w:ascii="Times New Roman" w:hAnsi="Times New Roman"/>
          <w:bCs/>
          <w:i/>
          <w:lang w:eastAsia="ru-RU"/>
        </w:rPr>
        <w:t>(визначені в результаті аналізу слабких сторін і загроз, рис. 12)</w:t>
      </w:r>
    </w:p>
    <w:p>
      <w:pPr>
        <w:pStyle w:val="Normal"/>
        <w:numPr>
          <w:ilvl w:val="0"/>
          <w:numId w:val="16"/>
        </w:numPr>
        <w:tabs>
          <w:tab w:val="left" w:pos="284" w:leader="none"/>
          <w:tab w:val="left" w:pos="2495" w:leader="none"/>
        </w:tabs>
        <w:suppressAutoHyphens w:val="true"/>
        <w:spacing w:lineRule="auto" w:line="240" w:before="0" w:after="0"/>
        <w:ind w:left="0" w:hanging="0"/>
        <w:jc w:val="both"/>
        <w:rPr>
          <w:rFonts w:ascii="Times New Roman" w:hAnsi="Times New Roman" w:eastAsia="Noto Sans CJK SC Regular" w:cs="Times New Roman"/>
          <w:sz w:val="24"/>
          <w:szCs w:val="24"/>
          <w:lang w:eastAsia="zh-CN" w:bidi="hi-IN"/>
        </w:rPr>
      </w:pPr>
      <w:r>
        <w:rPr>
          <w:rFonts w:eastAsia="Noto Sans CJK SC Regular" w:cs="Times New Roman" w:ascii="Times New Roman" w:hAnsi="Times New Roman"/>
          <w:sz w:val="24"/>
          <w:szCs w:val="24"/>
          <w:lang w:eastAsia="zh-CN" w:bidi="hi-IN"/>
        </w:rPr>
        <w:t xml:space="preserve">Найбільший ризик для нашої громади є збільшення навантаження на місцевий бюджет : утримання комунальних будівель, ремонт внутрішніх автомобільних доріг, вуличного освітлення, комунальної сфери старостинських округів та соціальної сфери( закладів охорони здоров'я, освіти та культури) за власний рахунок. </w:t>
      </w:r>
    </w:p>
    <w:p>
      <w:pPr>
        <w:pStyle w:val="Normal"/>
        <w:numPr>
          <w:ilvl w:val="0"/>
          <w:numId w:val="16"/>
        </w:numPr>
        <w:tabs>
          <w:tab w:val="left" w:pos="284" w:leader="none"/>
          <w:tab w:val="left" w:pos="2495" w:leader="none"/>
        </w:tabs>
        <w:suppressAutoHyphens w:val="true"/>
        <w:spacing w:lineRule="auto" w:line="240" w:before="0" w:after="0"/>
        <w:ind w:left="0" w:hanging="0"/>
        <w:jc w:val="both"/>
        <w:rPr>
          <w:rFonts w:ascii="Times New Roman" w:hAnsi="Times New Roman" w:eastAsia="Noto Sans CJK SC Regular" w:cs="Times New Roman"/>
          <w:sz w:val="24"/>
          <w:szCs w:val="24"/>
          <w:lang w:eastAsia="zh-CN" w:bidi="hi-IN"/>
        </w:rPr>
      </w:pPr>
      <w:r>
        <w:rPr>
          <w:rFonts w:eastAsia="Noto Sans CJK SC Regular" w:cs="Times New Roman" w:ascii="Times New Roman" w:hAnsi="Times New Roman"/>
          <w:sz w:val="24"/>
          <w:szCs w:val="24"/>
          <w:lang w:eastAsia="zh-CN" w:bidi="hi-IN"/>
        </w:rPr>
        <w:t>Конкуренція з боку сусідніх громад (Нова Каховка, Таврійськ) - посилює ще одну із слабких сторін нашої громади, недостатньо розвинуту туристичну привабливість (за рахунок недостатньо розвинутої мережі спортивної інфраструктури та потребі у збільшені мережі місць та центрів дозвілля, відсутність кінотеатру). Містяни та молодь громади їздять відпочивати у сусідні громади.</w:t>
      </w:r>
    </w:p>
    <w:p>
      <w:pPr>
        <w:pStyle w:val="Normal"/>
        <w:numPr>
          <w:ilvl w:val="0"/>
          <w:numId w:val="16"/>
        </w:numPr>
        <w:tabs>
          <w:tab w:val="left" w:pos="284" w:leader="none"/>
          <w:tab w:val="left" w:pos="2495" w:leader="none"/>
        </w:tabs>
        <w:suppressAutoHyphens w:val="true"/>
        <w:spacing w:lineRule="auto" w:line="240" w:before="0" w:after="0"/>
        <w:ind w:left="0" w:hanging="0"/>
        <w:jc w:val="both"/>
        <w:rPr>
          <w:rFonts w:ascii="Times New Roman" w:hAnsi="Times New Roman" w:eastAsia="Noto Sans CJK SC Regular" w:cs="Times New Roman"/>
          <w:sz w:val="24"/>
          <w:szCs w:val="24"/>
          <w:lang w:eastAsia="zh-CN" w:bidi="hi-IN"/>
        </w:rPr>
      </w:pPr>
      <w:r>
        <w:rPr>
          <w:rFonts w:eastAsia="Noto Sans CJK SC Regular" w:cs="Times New Roman" w:ascii="Times New Roman" w:hAnsi="Times New Roman"/>
          <w:sz w:val="24"/>
          <w:szCs w:val="24"/>
          <w:lang w:eastAsia="zh-CN" w:bidi="hi-IN"/>
        </w:rPr>
        <w:t>Продовження військового конфлікту на Сході України негативно може вплинути демографію громади( - 400 мешканців), що супроводжуватиметься відтоком населення працездатного віку закордон та від’ємним природним приростом населення.</w:t>
      </w:r>
    </w:p>
    <w:p>
      <w:pPr>
        <w:pStyle w:val="Normal"/>
        <w:numPr>
          <w:ilvl w:val="0"/>
          <w:numId w:val="16"/>
        </w:numPr>
        <w:tabs>
          <w:tab w:val="left" w:pos="284" w:leader="none"/>
          <w:tab w:val="left" w:pos="2495" w:leader="none"/>
        </w:tabs>
        <w:suppressAutoHyphens w:val="true"/>
        <w:spacing w:lineRule="auto" w:line="240" w:before="0" w:after="0"/>
        <w:ind w:left="0" w:hanging="0"/>
        <w:jc w:val="both"/>
        <w:rPr>
          <w:rFonts w:ascii="Times New Roman" w:hAnsi="Times New Roman" w:eastAsia="Noto Sans CJK SC Regular" w:cs="Times New Roman"/>
          <w:sz w:val="24"/>
          <w:szCs w:val="24"/>
          <w:lang w:eastAsia="zh-CN" w:bidi="hi-IN"/>
        </w:rPr>
      </w:pPr>
      <w:r>
        <w:rPr>
          <w:rFonts w:eastAsia="Noto Sans CJK SC Regular" w:cs="Times New Roman" w:ascii="Times New Roman" w:hAnsi="Times New Roman"/>
          <w:sz w:val="24"/>
          <w:szCs w:val="24"/>
          <w:lang w:eastAsia="zh-CN" w:bidi="hi-IN"/>
        </w:rPr>
        <w:t>Нестабільне податкове та інвестиційне законодавство, затягування з проведенням ключових реформ в Україні також збільшує ризик навантаження на місцеві бюджети, гальмує процес завершення інвентаризації землі та комерційної нерухомості.</w:t>
      </w:r>
    </w:p>
    <w:p>
      <w:pPr>
        <w:pStyle w:val="Normal"/>
        <w:numPr>
          <w:ilvl w:val="0"/>
          <w:numId w:val="16"/>
        </w:numPr>
        <w:tabs>
          <w:tab w:val="left" w:pos="284" w:leader="none"/>
          <w:tab w:val="left" w:pos="2495" w:leader="none"/>
        </w:tabs>
        <w:suppressAutoHyphens w:val="true"/>
        <w:spacing w:lineRule="auto" w:line="240" w:before="0" w:after="0"/>
        <w:ind w:left="0" w:hanging="0"/>
        <w:jc w:val="both"/>
        <w:rPr>
          <w:rFonts w:ascii="Times New Roman" w:hAnsi="Times New Roman" w:eastAsia="Noto Sans CJK SC Regular" w:cs="Times New Roman"/>
          <w:sz w:val="24"/>
          <w:szCs w:val="24"/>
          <w:lang w:eastAsia="zh-CN" w:bidi="hi-IN"/>
        </w:rPr>
      </w:pPr>
      <w:r>
        <w:rPr>
          <w:rFonts w:eastAsia="Noto Sans CJK SC Regular" w:cs="Times New Roman" w:ascii="Times New Roman" w:hAnsi="Times New Roman"/>
          <w:sz w:val="24"/>
          <w:szCs w:val="24"/>
          <w:lang w:eastAsia="zh-CN" w:bidi="hi-IN"/>
        </w:rPr>
        <w:t>Продовження обмежень, пов’язаних з пандемією негативно вплинули на розвиток бізнесу, що ще більше ускладнює  комунікацію влади з громадою та уповільнює створення місць та центрів дозвілля.</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2"/>
        <w:spacing w:before="0" w:after="120"/>
        <w:ind w:left="284" w:hanging="0"/>
        <w:rPr>
          <w:rFonts w:ascii="Times New Roman" w:hAnsi="Times New Roman" w:cs="Times New Roman"/>
          <w:szCs w:val="24"/>
        </w:rPr>
      </w:pPr>
      <w:bookmarkStart w:id="67" w:name="_Toc82342953"/>
      <w:bookmarkStart w:id="68" w:name="_Toc84348311"/>
      <w:bookmarkStart w:id="69" w:name="_Toc84967178"/>
      <w:bookmarkEnd w:id="67"/>
      <w:bookmarkEnd w:id="68"/>
      <w:bookmarkEnd w:id="69"/>
      <w:r>
        <w:rPr>
          <w:rFonts w:cs="Times New Roman" w:ascii="Times New Roman" w:hAnsi="Times New Roman"/>
          <w:szCs w:val="24"/>
        </w:rPr>
        <w:t>2.3. Визначення потенціалу для розвитку громади та основних проблем, що стримують її розвиток</w:t>
      </w:r>
    </w:p>
    <w:p>
      <w:pPr>
        <w:pStyle w:val="Normal"/>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 xml:space="preserve">Поєднання результатів соціально-економічного аналізу та </w:t>
      </w:r>
      <w:r>
        <w:rPr>
          <w:rFonts w:eastAsia="Times New Roman" w:cs="Times New Roman" w:ascii="Times New Roman" w:hAnsi="Times New Roman"/>
          <w:sz w:val="24"/>
          <w:szCs w:val="24"/>
          <w:lang w:val="en-US" w:eastAsia="ru-RU"/>
        </w:rPr>
        <w:t>SWOT</w:t>
      </w:r>
      <w:r>
        <w:rPr>
          <w:rFonts w:eastAsia="Times New Roman" w:cs="Times New Roman" w:ascii="Times New Roman" w:hAnsi="Times New Roman"/>
          <w:sz w:val="24"/>
          <w:szCs w:val="24"/>
          <w:lang w:eastAsia="ru-RU"/>
        </w:rPr>
        <w:t xml:space="preserve"> аналізу дає підстави сформулювати такі висновки:</w:t>
      </w:r>
    </w:p>
    <w:p>
      <w:pPr>
        <w:pStyle w:val="Normal"/>
        <w:spacing w:lineRule="auto" w:line="240" w:before="120" w:after="0"/>
        <w:ind w:firstLine="708"/>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Основні проблеми розвитку Каховської територіальної громади:</w:t>
      </w:r>
    </w:p>
    <w:p>
      <w:pPr>
        <w:pStyle w:val="ListParagraph"/>
        <w:numPr>
          <w:ilvl w:val="0"/>
          <w:numId w:val="18"/>
        </w:numPr>
        <w:ind w:left="567" w:hanging="357"/>
        <w:jc w:val="both"/>
        <w:rPr>
          <w:rFonts w:ascii="Times New Roman" w:hAnsi="Times New Roman" w:eastAsia="Calibri" w:cs="Times New Roman"/>
          <w:sz w:val="24"/>
          <w:szCs w:val="24"/>
          <w:lang w:val="uk-UA"/>
        </w:rPr>
      </w:pPr>
      <w:r>
        <w:rPr>
          <w:rFonts w:eastAsia="Calibri" w:cs="Times New Roman" w:ascii="Times New Roman" w:hAnsi="Times New Roman"/>
          <w:sz w:val="24"/>
          <w:szCs w:val="24"/>
          <w:lang w:val="uk-UA"/>
        </w:rPr>
        <w:t>брак робочих місць на підприємствах громади,</w:t>
      </w:r>
    </w:p>
    <w:p>
      <w:pPr>
        <w:pStyle w:val="ListParagraph"/>
        <w:numPr>
          <w:ilvl w:val="0"/>
          <w:numId w:val="18"/>
        </w:numPr>
        <w:ind w:left="567" w:hanging="357"/>
        <w:jc w:val="both"/>
        <w:rPr>
          <w:rFonts w:ascii="Times New Roman" w:hAnsi="Times New Roman" w:eastAsia="Calibri" w:cs="Times New Roman"/>
          <w:sz w:val="24"/>
          <w:szCs w:val="24"/>
          <w:lang w:val="uk-UA"/>
        </w:rPr>
      </w:pPr>
      <w:r>
        <w:rPr>
          <w:rFonts w:eastAsia="Calibri" w:cs="Times New Roman" w:ascii="Times New Roman" w:hAnsi="Times New Roman"/>
          <w:sz w:val="24"/>
          <w:szCs w:val="24"/>
          <w:lang w:val="uk-UA"/>
        </w:rPr>
        <w:t xml:space="preserve">недостатня комунікація влади з громадою, </w:t>
      </w:r>
    </w:p>
    <w:p>
      <w:pPr>
        <w:pStyle w:val="ListParagraph"/>
        <w:numPr>
          <w:ilvl w:val="0"/>
          <w:numId w:val="18"/>
        </w:numPr>
        <w:ind w:left="567" w:hanging="357"/>
        <w:jc w:val="both"/>
        <w:rPr>
          <w:rFonts w:ascii="Times New Roman" w:hAnsi="Times New Roman" w:eastAsia="Calibri" w:cs="Times New Roman"/>
          <w:sz w:val="24"/>
          <w:szCs w:val="24"/>
          <w:lang w:val="uk-UA"/>
        </w:rPr>
      </w:pPr>
      <w:r>
        <w:rPr>
          <w:rFonts w:eastAsia="Calibri" w:cs="Times New Roman" w:ascii="Times New Roman" w:hAnsi="Times New Roman"/>
          <w:sz w:val="24"/>
          <w:szCs w:val="24"/>
          <w:lang w:val="uk-UA"/>
        </w:rPr>
        <w:t>поширення злочинності, алкоголізму, наркоманії, насильства,</w:t>
      </w:r>
    </w:p>
    <w:p>
      <w:pPr>
        <w:pStyle w:val="ListParagraph"/>
        <w:numPr>
          <w:ilvl w:val="0"/>
          <w:numId w:val="18"/>
        </w:numPr>
        <w:ind w:left="567" w:hanging="357"/>
        <w:jc w:val="both"/>
        <w:rPr>
          <w:rFonts w:ascii="Times New Roman" w:hAnsi="Times New Roman" w:eastAsia="Calibri" w:cs="Times New Roman"/>
          <w:sz w:val="24"/>
          <w:szCs w:val="24"/>
          <w:lang w:val="uk-UA"/>
        </w:rPr>
      </w:pPr>
      <w:r>
        <w:rPr>
          <w:rFonts w:eastAsia="Calibri" w:cs="Times New Roman" w:ascii="Times New Roman" w:hAnsi="Times New Roman"/>
          <w:sz w:val="24"/>
          <w:szCs w:val="24"/>
          <w:lang w:val="uk-UA"/>
        </w:rPr>
        <w:t xml:space="preserve">нестача об’єктів відпочинку, змістовного дозвілля, </w:t>
      </w:r>
    </w:p>
    <w:p>
      <w:pPr>
        <w:pStyle w:val="ListParagraph"/>
        <w:numPr>
          <w:ilvl w:val="0"/>
          <w:numId w:val="18"/>
        </w:numPr>
        <w:ind w:left="567" w:hanging="357"/>
        <w:jc w:val="both"/>
        <w:rPr>
          <w:rFonts w:ascii="Times New Roman" w:hAnsi="Times New Roman" w:eastAsia="Calibri" w:cs="Times New Roman"/>
          <w:sz w:val="24"/>
          <w:szCs w:val="24"/>
          <w:lang w:val="uk-UA"/>
        </w:rPr>
      </w:pPr>
      <w:r>
        <w:rPr>
          <w:rFonts w:eastAsia="Calibri" w:cs="Times New Roman" w:ascii="Times New Roman" w:hAnsi="Times New Roman"/>
          <w:sz w:val="24"/>
          <w:szCs w:val="24"/>
          <w:lang w:val="uk-UA"/>
        </w:rPr>
        <w:t>незадовільний стан дорожньої інфраструктури,</w:t>
      </w:r>
    </w:p>
    <w:p>
      <w:pPr>
        <w:pStyle w:val="ListParagraph"/>
        <w:numPr>
          <w:ilvl w:val="0"/>
          <w:numId w:val="18"/>
        </w:numPr>
        <w:ind w:left="567" w:hanging="357"/>
        <w:jc w:val="both"/>
        <w:rPr>
          <w:rFonts w:ascii="Times New Roman" w:hAnsi="Times New Roman" w:eastAsia="Calibri" w:cs="Times New Roman"/>
          <w:sz w:val="24"/>
          <w:szCs w:val="24"/>
          <w:lang w:val="uk-UA"/>
        </w:rPr>
      </w:pPr>
      <w:r>
        <w:rPr>
          <w:rFonts w:eastAsia="Calibri" w:cs="Times New Roman" w:ascii="Times New Roman" w:hAnsi="Times New Roman"/>
          <w:sz w:val="24"/>
          <w:szCs w:val="24"/>
          <w:lang w:val="uk-UA"/>
        </w:rPr>
        <w:t xml:space="preserve">«соціальна» завантаженість місцевого бюджету (понад 85%). </w:t>
      </w:r>
    </w:p>
    <w:p>
      <w:pPr>
        <w:pStyle w:val="Normal"/>
        <w:spacing w:lineRule="auto" w:line="240" w:before="120" w:after="0"/>
        <w:ind w:firstLine="708"/>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Потенціал для розвитку Каховської громади у таких напрямках:</w:t>
      </w:r>
    </w:p>
    <w:p>
      <w:pPr>
        <w:pStyle w:val="ListParagraph"/>
        <w:numPr>
          <w:ilvl w:val="0"/>
          <w:numId w:val="17"/>
        </w:numPr>
        <w:ind w:left="426" w:hanging="360"/>
        <w:jc w:val="both"/>
        <w:rPr>
          <w:rFonts w:ascii="Times New Roman" w:hAnsi="Times New Roman" w:eastAsia="Calibri" w:cs="Times New Roman"/>
          <w:sz w:val="24"/>
          <w:szCs w:val="24"/>
          <w:lang w:val="uk-UA"/>
        </w:rPr>
      </w:pPr>
      <w:r>
        <w:rPr>
          <w:rFonts w:eastAsia="Calibri" w:cs="Times New Roman" w:ascii="Times New Roman" w:hAnsi="Times New Roman"/>
          <w:sz w:val="24"/>
          <w:szCs w:val="24"/>
          <w:lang w:val="uk-UA"/>
        </w:rPr>
        <w:t xml:space="preserve">сучасна промисловість, </w:t>
      </w:r>
    </w:p>
    <w:p>
      <w:pPr>
        <w:pStyle w:val="ListParagraph"/>
        <w:numPr>
          <w:ilvl w:val="0"/>
          <w:numId w:val="17"/>
        </w:numPr>
        <w:ind w:left="426" w:hanging="360"/>
        <w:jc w:val="both"/>
        <w:rPr>
          <w:rFonts w:ascii="Times New Roman" w:hAnsi="Times New Roman" w:eastAsia="Calibri" w:cs="Times New Roman"/>
          <w:sz w:val="24"/>
          <w:szCs w:val="24"/>
          <w:lang w:val="uk-UA"/>
        </w:rPr>
      </w:pPr>
      <w:r>
        <w:rPr>
          <w:rFonts w:eastAsia="Calibri" w:cs="Times New Roman" w:ascii="Times New Roman" w:hAnsi="Times New Roman"/>
          <w:sz w:val="24"/>
          <w:szCs w:val="24"/>
          <w:lang w:val="uk-UA"/>
        </w:rPr>
        <w:t>залучення інвестицій,</w:t>
      </w:r>
    </w:p>
    <w:p>
      <w:pPr>
        <w:pStyle w:val="ListParagraph"/>
        <w:numPr>
          <w:ilvl w:val="0"/>
          <w:numId w:val="17"/>
        </w:numPr>
        <w:ind w:left="426" w:hanging="360"/>
        <w:jc w:val="both"/>
        <w:rPr>
          <w:rFonts w:ascii="Times New Roman" w:hAnsi="Times New Roman" w:eastAsia="Calibri" w:cs="Times New Roman"/>
          <w:sz w:val="24"/>
          <w:szCs w:val="24"/>
          <w:lang w:val="uk-UA"/>
        </w:rPr>
      </w:pPr>
      <w:r>
        <w:rPr>
          <w:rFonts w:eastAsia="Calibri" w:cs="Times New Roman" w:ascii="Times New Roman" w:hAnsi="Times New Roman"/>
          <w:sz w:val="24"/>
          <w:szCs w:val="24"/>
          <w:lang w:val="uk-UA"/>
        </w:rPr>
        <w:t>розвиток туризму,</w:t>
      </w:r>
    </w:p>
    <w:p>
      <w:pPr>
        <w:pStyle w:val="ListParagraph"/>
        <w:numPr>
          <w:ilvl w:val="0"/>
          <w:numId w:val="17"/>
        </w:numPr>
        <w:ind w:left="426" w:hanging="360"/>
        <w:jc w:val="both"/>
        <w:rPr>
          <w:rFonts w:ascii="Times New Roman" w:hAnsi="Times New Roman" w:eastAsia="Calibri" w:cs="Times New Roman"/>
          <w:sz w:val="24"/>
          <w:szCs w:val="24"/>
          <w:lang w:val="uk-UA"/>
        </w:rPr>
      </w:pPr>
      <w:r>
        <w:rPr>
          <w:rFonts w:eastAsia="Calibri" w:cs="Times New Roman" w:ascii="Times New Roman" w:hAnsi="Times New Roman"/>
          <w:sz w:val="24"/>
          <w:szCs w:val="24"/>
          <w:lang w:val="uk-UA"/>
        </w:rPr>
        <w:t>розвиток соціального житла.</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1"/>
        <w:pageBreakBefore w:val="false"/>
        <w:tabs>
          <w:tab w:val="left" w:pos="284" w:leader="none"/>
          <w:tab w:val="left" w:pos="567" w:leader="none"/>
        </w:tabs>
        <w:spacing w:lineRule="auto" w:line="240" w:before="0" w:after="0"/>
        <w:rPr>
          <w:rFonts w:ascii="Times New Roman" w:hAnsi="Times New Roman" w:cs="Times New Roman"/>
          <w:sz w:val="26"/>
          <w:szCs w:val="26"/>
        </w:rPr>
      </w:pPr>
      <w:bookmarkStart w:id="70" w:name="_Toc84967179"/>
      <w:bookmarkStart w:id="71" w:name="_Toc291842806"/>
      <w:bookmarkStart w:id="72" w:name="_Toc436423058"/>
      <w:bookmarkStart w:id="73" w:name="_Toc445403190"/>
      <w:bookmarkStart w:id="74" w:name="_Toc446487186"/>
      <w:bookmarkStart w:id="75" w:name="_Hlk43447099"/>
      <w:bookmarkStart w:id="76" w:name="_Toc4364230601"/>
      <w:bookmarkStart w:id="77" w:name="_Toc4454031921"/>
      <w:bookmarkStart w:id="78" w:name="_Hlk348354071"/>
      <w:bookmarkEnd w:id="75"/>
      <w:bookmarkEnd w:id="76"/>
      <w:bookmarkEnd w:id="77"/>
      <w:bookmarkEnd w:id="78"/>
      <w:r>
        <w:rPr>
          <w:rFonts w:cs="Times New Roman" w:ascii="Times New Roman" w:hAnsi="Times New Roman"/>
          <w:sz w:val="26"/>
          <w:szCs w:val="26"/>
        </w:rPr>
        <w:t xml:space="preserve">ІІ. </w:t>
      </w:r>
      <w:bookmarkEnd w:id="70"/>
      <w:bookmarkEnd w:id="71"/>
      <w:bookmarkEnd w:id="72"/>
      <w:bookmarkEnd w:id="73"/>
      <w:bookmarkEnd w:id="74"/>
      <w:r>
        <w:rPr>
          <w:rFonts w:cs="Times New Roman" w:ascii="Times New Roman" w:hAnsi="Times New Roman"/>
          <w:sz w:val="26"/>
          <w:szCs w:val="26"/>
        </w:rPr>
        <w:t>СЦЕНАРІЇ РОЗВИТКУ КАХОВСЬКОЇ МІСЬКОЇ ТЕРИТОРІАЛЬНОЇ ГРОМАДИ</w:t>
      </w:r>
    </w:p>
    <w:p>
      <w:pPr>
        <w:pStyle w:val="Normal"/>
        <w:spacing w:lineRule="auto" w:line="240" w:before="0" w:after="0"/>
        <w:rPr>
          <w:rFonts w:ascii="Times New Roman" w:hAnsi="Times New Roman" w:cs="Times New Roman"/>
          <w:sz w:val="6"/>
          <w:szCs w:val="6"/>
        </w:rPr>
      </w:pPr>
      <w:bookmarkStart w:id="79" w:name="_Toc436423059"/>
      <w:bookmarkStart w:id="80" w:name="_Toc445403191"/>
      <w:bookmarkStart w:id="81" w:name="_Toc446487187"/>
      <w:bookmarkStart w:id="82" w:name="_Hlk434470991"/>
      <w:bookmarkStart w:id="83" w:name="_Toc436423059"/>
      <w:bookmarkStart w:id="84" w:name="_Toc445403191"/>
      <w:bookmarkStart w:id="85" w:name="_Toc446487187"/>
      <w:bookmarkStart w:id="86" w:name="_Hlk434470991"/>
      <w:bookmarkEnd w:id="83"/>
      <w:bookmarkEnd w:id="84"/>
      <w:bookmarkEnd w:id="85"/>
      <w:bookmarkEnd w:id="86"/>
      <w:r>
        <w:rPr>
          <w:rFonts w:cs="Times New Roman" w:ascii="Times New Roman" w:hAnsi="Times New Roman"/>
          <w:sz w:val="6"/>
          <w:szCs w:val="6"/>
        </w:rPr>
      </w:r>
    </w:p>
    <w:p>
      <w:pPr>
        <w:pStyle w:val="Normal"/>
        <w:spacing w:lineRule="auto" w:line="240" w:before="0" w:after="0"/>
        <w:ind w:firstLine="709"/>
        <w:jc w:val="both"/>
        <w:rPr>
          <w:rFonts w:ascii="Times New Roman" w:hAnsi="Times New Roman" w:eastAsia="Calibri" w:cs="Times New Roman"/>
          <w:color w:val="0D0D0D" w:themeColor="text1" w:themeTint="f2"/>
          <w:sz w:val="24"/>
          <w:szCs w:val="24"/>
        </w:rPr>
      </w:pPr>
      <w:bookmarkStart w:id="87" w:name="_Toc4364230591"/>
      <w:bookmarkStart w:id="88" w:name="_Toc4454031911"/>
      <w:bookmarkStart w:id="89" w:name="_Toc4464871871"/>
      <w:bookmarkEnd w:id="87"/>
      <w:bookmarkEnd w:id="88"/>
      <w:bookmarkEnd w:id="89"/>
      <w:r>
        <w:rPr>
          <w:rFonts w:eastAsia="Calibri" w:cs="Times New Roman" w:ascii="Times New Roman" w:hAnsi="Times New Roman"/>
          <w:color w:val="0D0D0D" w:themeColor="text1" w:themeTint="f2"/>
          <w:sz w:val="24"/>
          <w:szCs w:val="24"/>
        </w:rPr>
        <w:t>На основі аналізу та оцінки соціально-економічної ситуації у Каховській громаді формулюємо найбільш вірогідні можливі сценаріїв розвитку громади на плановий період (2022-2027 роки). Цей процес ґрунтується на припущеннях, які стосуються формування комбінацій сильних та слабких сторін, можливостей та загроз. В основі кожного сценарію покладаються базові сценарні припущення, за яких можуть виникати ті чи інші фактори впливу.</w:t>
      </w:r>
    </w:p>
    <w:p>
      <w:pPr>
        <w:pStyle w:val="Normal"/>
        <w:spacing w:lineRule="auto" w:line="240" w:before="0" w:after="0"/>
        <w:ind w:firstLine="708"/>
        <w:jc w:val="both"/>
        <w:rPr>
          <w:rFonts w:ascii="Times New Roman" w:hAnsi="Times New Roman" w:cs="Times New Roman"/>
          <w:bCs/>
          <w:sz w:val="24"/>
          <w:szCs w:val="24"/>
        </w:rPr>
      </w:pPr>
      <w:r>
        <w:rPr>
          <w:rFonts w:cs="Times New Roman" w:ascii="Times New Roman" w:hAnsi="Times New Roman"/>
          <w:bCs/>
          <w:sz w:val="24"/>
          <w:szCs w:val="24"/>
        </w:rPr>
        <w:t xml:space="preserve">Для </w:t>
      </w:r>
      <w:r>
        <w:rPr>
          <w:rFonts w:eastAsia="Calibri" w:cs="Times New Roman" w:ascii="Times New Roman" w:hAnsi="Times New Roman"/>
          <w:color w:val="0D0D0D" w:themeColor="text1" w:themeTint="f2"/>
          <w:sz w:val="24"/>
          <w:szCs w:val="24"/>
        </w:rPr>
        <w:t>обрання найбільш прийнятного і водночас реалістичного сценарію</w:t>
      </w:r>
      <w:r>
        <w:rPr>
          <w:rFonts w:cs="Times New Roman" w:ascii="Times New Roman" w:hAnsi="Times New Roman"/>
          <w:bCs/>
          <w:sz w:val="24"/>
          <w:szCs w:val="24"/>
        </w:rPr>
        <w:t xml:space="preserve"> варто враховувати, що для нещодавно створеної Каховської громади недостатньо даних для відстеження попередньої тривалої динаміки соціально-економічних процесів. Тому, повноцінне формулювання сценаріїв стане можливим під час наступних періодів стратегічного планування. Крім того, у 2021 році громада у новоствореному складі перейшла до прямих міжбюджетних відносин з національним бюджетом, відбувається передача кількох додаткових сфер відповідальності (охорона здоров’я, культура, соціальні послуги тощо). </w:t>
      </w:r>
    </w:p>
    <w:p>
      <w:pPr>
        <w:pStyle w:val="Normal"/>
        <w:shd w:val="clear" w:color="auto" w:fill="FFFFFF"/>
        <w:spacing w:lineRule="auto" w:line="240" w:before="120" w:after="120"/>
        <w:ind w:firstLine="709"/>
        <w:jc w:val="both"/>
        <w:textAlignment w:val="baseline"/>
        <w:rPr>
          <w:rFonts w:ascii="Times New Roman" w:hAnsi="Times New Roman" w:eastAsia="Times New Roman" w:cs="Times New Roman"/>
          <w:sz w:val="28"/>
          <w:szCs w:val="28"/>
          <w:lang w:eastAsia="ru-RU"/>
        </w:rPr>
      </w:pPr>
      <w:r>
        <w:rPr>
          <w:rFonts w:cs="Times New Roman" w:ascii="Times New Roman" w:hAnsi="Times New Roman"/>
          <w:bCs/>
          <w:sz w:val="24"/>
          <w:szCs w:val="24"/>
        </w:rPr>
        <w:t>Таким чином, наведені нижче елементи сценарного моделювання відображають, передусім вплив на громаду зовнішніх факторів. Правильне трактування впливу, потенційних можливостей та загроз, які несе за собою їхня реалізація, дозволяє сформувати проактивну позицію громади, за якої вона виступатиме не як об’єкт, але як суб’єкт управління процесами, що відбуваються. За умов існування цих вищезазначених альтернатив існує можливість сформулювати два сценарії розвитку Каховської територіальної громади: базовий (інерційний) сценарій та модернізаційний сценарій розвитку громади.</w:t>
      </w:r>
    </w:p>
    <w:p>
      <w:pPr>
        <w:pStyle w:val="Normal"/>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t>Базовий/інерційний сценарій розвитку Каховської громади</w:t>
      </w:r>
    </w:p>
    <w:p>
      <w:pPr>
        <w:pStyle w:val="Normal"/>
        <w:spacing w:lineRule="auto" w:line="240" w:before="0" w:after="0"/>
        <w:ind w:firstLine="708"/>
        <w:jc w:val="both"/>
        <w:rPr>
          <w:rFonts w:ascii="Times New Roman" w:hAnsi="Times New Roman" w:cs="Times New Roman"/>
          <w:bCs/>
          <w:sz w:val="24"/>
          <w:szCs w:val="24"/>
        </w:rPr>
      </w:pPr>
      <w:r>
        <w:rPr>
          <w:rFonts w:cs="Times New Roman" w:ascii="Times New Roman" w:hAnsi="Times New Roman"/>
          <w:sz w:val="24"/>
          <w:szCs w:val="24"/>
        </w:rPr>
        <w:t xml:space="preserve">Формується на підставі комплексу припущень, що тривалий у часі (горизонті планування) баланс зовнішніх і внутрішніх факторів впливу на стан громади як соціально-економічної системи залишається незмінним, тобто послідовність станів системи змінюється за інерцією: </w:t>
      </w:r>
      <w:r>
        <w:rPr>
          <w:rFonts w:eastAsia="Calibri" w:cs="Times New Roman" w:ascii="Times New Roman" w:hAnsi="Times New Roman"/>
          <w:color w:val="0D0D0D" w:themeColor="text1" w:themeTint="f2"/>
          <w:sz w:val="24"/>
          <w:szCs w:val="24"/>
        </w:rPr>
        <w:t>органи управління громади не впливають активно на зміну ситуації.</w:t>
      </w:r>
    </w:p>
    <w:p>
      <w:pPr>
        <w:pStyle w:val="Normal"/>
        <w:spacing w:lineRule="auto" w:line="240" w:before="120" w:after="0"/>
        <w:jc w:val="both"/>
        <w:rPr>
          <w:rFonts w:ascii="Times New Roman" w:hAnsi="Times New Roman" w:cs="Times New Roman"/>
          <w:sz w:val="24"/>
          <w:szCs w:val="24"/>
        </w:rPr>
      </w:pPr>
      <w:r>
        <w:rPr>
          <w:rFonts w:cs="Times New Roman" w:ascii="Times New Roman" w:hAnsi="Times New Roman"/>
          <w:sz w:val="24"/>
          <w:szCs w:val="24"/>
        </w:rPr>
        <w:t>Базові припущення інерційного сценарію - національний рівень:</w:t>
      </w:r>
    </w:p>
    <w:p>
      <w:pPr>
        <w:pStyle w:val="ListParagraph"/>
        <w:numPr>
          <w:ilvl w:val="0"/>
          <w:numId w:val="4"/>
        </w:numPr>
        <w:ind w:left="567" w:hanging="360"/>
        <w:jc w:val="both"/>
        <w:rPr>
          <w:rFonts w:ascii="Times New Roman" w:hAnsi="Times New Roman" w:cs="Times New Roman"/>
          <w:sz w:val="24"/>
          <w:szCs w:val="24"/>
          <w:lang w:val="uk-UA"/>
        </w:rPr>
      </w:pPr>
      <w:r>
        <w:rPr>
          <w:rFonts w:cs="Times New Roman" w:ascii="Times New Roman" w:hAnsi="Times New Roman"/>
          <w:sz w:val="24"/>
          <w:szCs w:val="24"/>
          <w:lang w:val="uk-UA"/>
        </w:rPr>
        <w:t>Рівень корупції в країні зменшується незначно.</w:t>
      </w:r>
    </w:p>
    <w:p>
      <w:pPr>
        <w:pStyle w:val="ListParagraph"/>
        <w:numPr>
          <w:ilvl w:val="0"/>
          <w:numId w:val="4"/>
        </w:numPr>
        <w:ind w:left="567" w:hanging="360"/>
        <w:jc w:val="both"/>
        <w:rPr>
          <w:rFonts w:ascii="Times New Roman" w:hAnsi="Times New Roman" w:cs="Times New Roman"/>
          <w:sz w:val="24"/>
          <w:szCs w:val="24"/>
          <w:lang w:val="uk-UA"/>
        </w:rPr>
      </w:pPr>
      <w:r>
        <w:rPr>
          <w:rFonts w:cs="Times New Roman" w:ascii="Times New Roman" w:hAnsi="Times New Roman"/>
          <w:sz w:val="24"/>
          <w:szCs w:val="24"/>
          <w:lang w:val="uk-UA"/>
        </w:rPr>
        <w:t>Військовий конфлікт на Сході України заморожується.</w:t>
      </w:r>
    </w:p>
    <w:p>
      <w:pPr>
        <w:pStyle w:val="ListParagraph"/>
        <w:numPr>
          <w:ilvl w:val="0"/>
          <w:numId w:val="4"/>
        </w:numPr>
        <w:ind w:left="567" w:hanging="360"/>
        <w:jc w:val="both"/>
        <w:rPr>
          <w:rFonts w:ascii="Times New Roman" w:hAnsi="Times New Roman" w:cs="Times New Roman"/>
          <w:sz w:val="24"/>
          <w:szCs w:val="24"/>
          <w:lang w:val="uk-UA"/>
        </w:rPr>
      </w:pPr>
      <w:r>
        <w:rPr>
          <w:rFonts w:cs="Times New Roman" w:ascii="Times New Roman" w:hAnsi="Times New Roman"/>
          <w:sz w:val="24"/>
          <w:szCs w:val="24"/>
          <w:lang w:val="uk-UA"/>
        </w:rPr>
        <w:t>Зростають видатки національного Бюджету на утримання армії та ВПК.</w:t>
      </w:r>
    </w:p>
    <w:p>
      <w:pPr>
        <w:pStyle w:val="ListParagraph"/>
        <w:numPr>
          <w:ilvl w:val="0"/>
          <w:numId w:val="4"/>
        </w:numPr>
        <w:ind w:left="567" w:hanging="360"/>
        <w:rPr>
          <w:rFonts w:ascii="Times New Roman" w:hAnsi="Times New Roman" w:cs="Times New Roman"/>
          <w:sz w:val="24"/>
          <w:szCs w:val="24"/>
          <w:lang w:val="uk-UA"/>
        </w:rPr>
      </w:pPr>
      <w:r>
        <w:rPr>
          <w:rFonts w:cs="Times New Roman" w:ascii="Times New Roman" w:hAnsi="Times New Roman"/>
          <w:sz w:val="24"/>
          <w:szCs w:val="24"/>
          <w:lang w:val="uk-UA"/>
        </w:rPr>
        <w:t xml:space="preserve">ВВП країни через попередні кризові явища зростає повільно, у 2021 році – 3,6%, у 2022-му – 4,0%. </w:t>
      </w:r>
    </w:p>
    <w:p>
      <w:pPr>
        <w:pStyle w:val="ListParagraph"/>
        <w:numPr>
          <w:ilvl w:val="0"/>
          <w:numId w:val="4"/>
        </w:numPr>
        <w:ind w:left="567" w:hanging="360"/>
        <w:jc w:val="both"/>
        <w:rPr>
          <w:rFonts w:ascii="Times New Roman" w:hAnsi="Times New Roman" w:cs="Times New Roman"/>
          <w:sz w:val="24"/>
          <w:szCs w:val="24"/>
          <w:lang w:val="uk-UA"/>
        </w:rPr>
      </w:pPr>
      <w:r>
        <w:rPr>
          <w:rFonts w:cs="Times New Roman" w:ascii="Times New Roman" w:hAnsi="Times New Roman"/>
          <w:sz w:val="24"/>
          <w:szCs w:val="24"/>
          <w:lang w:val="uk-UA"/>
        </w:rPr>
        <w:t>Гривня підтримується міжнародними кредитами та інтервенціями НБУ на валютному ринку, інфляція знаходиться на рівні біля 10%.</w:t>
      </w:r>
    </w:p>
    <w:p>
      <w:pPr>
        <w:pStyle w:val="ListParagraph"/>
        <w:numPr>
          <w:ilvl w:val="0"/>
          <w:numId w:val="4"/>
        </w:numPr>
        <w:ind w:left="567" w:hanging="360"/>
        <w:jc w:val="both"/>
        <w:rPr>
          <w:rFonts w:ascii="Times New Roman" w:hAnsi="Times New Roman" w:cs="Times New Roman"/>
          <w:sz w:val="24"/>
          <w:szCs w:val="24"/>
          <w:lang w:val="uk-UA"/>
        </w:rPr>
      </w:pPr>
      <w:r>
        <w:rPr>
          <w:rFonts w:cs="Times New Roman" w:ascii="Times New Roman" w:hAnsi="Times New Roman"/>
          <w:sz w:val="24"/>
          <w:szCs w:val="24"/>
          <w:lang w:val="uk-UA"/>
        </w:rPr>
        <w:t>Інвестиційна привабливість України залишається низькою, рівень залучення інвестицій зростає мляво.</w:t>
      </w:r>
    </w:p>
    <w:p>
      <w:pPr>
        <w:pStyle w:val="ListParagraph"/>
        <w:numPr>
          <w:ilvl w:val="0"/>
          <w:numId w:val="4"/>
        </w:numPr>
        <w:ind w:left="567" w:hanging="360"/>
        <w:jc w:val="both"/>
        <w:rPr>
          <w:rFonts w:ascii="Times New Roman" w:hAnsi="Times New Roman" w:cs="Times New Roman"/>
          <w:sz w:val="24"/>
          <w:szCs w:val="24"/>
          <w:lang w:val="uk-UA"/>
        </w:rPr>
      </w:pPr>
      <w:r>
        <w:rPr>
          <w:rFonts w:cs="Times New Roman" w:ascii="Times New Roman" w:hAnsi="Times New Roman"/>
          <w:sz w:val="24"/>
          <w:szCs w:val="24"/>
          <w:lang w:val="uk-UA"/>
        </w:rPr>
        <w:t>Податковий тиск на підприємців залишається високий, в тіні продовжує залишатися близько 50% малого і середнього бізнесу.</w:t>
      </w:r>
    </w:p>
    <w:p>
      <w:pPr>
        <w:pStyle w:val="Normal"/>
        <w:spacing w:lineRule="auto" w:line="240" w:before="120" w:after="0"/>
        <w:jc w:val="both"/>
        <w:rPr>
          <w:rFonts w:ascii="Times New Roman" w:hAnsi="Times New Roman" w:cs="Times New Roman"/>
          <w:sz w:val="24"/>
          <w:szCs w:val="24"/>
        </w:rPr>
      </w:pPr>
      <w:r>
        <w:rPr>
          <w:rFonts w:cs="Times New Roman" w:ascii="Times New Roman" w:hAnsi="Times New Roman"/>
          <w:sz w:val="24"/>
          <w:szCs w:val="24"/>
        </w:rPr>
        <w:t>Базові припущення інерційного сценарію – місцевий рівень:</w:t>
      </w:r>
    </w:p>
    <w:p>
      <w:pPr>
        <w:pStyle w:val="ListParagraph"/>
        <w:numPr>
          <w:ilvl w:val="0"/>
          <w:numId w:val="5"/>
        </w:numPr>
        <w:ind w:left="567" w:hanging="360"/>
        <w:jc w:val="both"/>
        <w:rPr>
          <w:rFonts w:ascii="Times New Roman" w:hAnsi="Times New Roman" w:cs="Times New Roman"/>
          <w:sz w:val="24"/>
          <w:szCs w:val="24"/>
          <w:lang w:val="uk-UA"/>
        </w:rPr>
      </w:pPr>
      <w:r>
        <w:rPr>
          <w:rFonts w:cs="Times New Roman" w:ascii="Times New Roman" w:hAnsi="Times New Roman"/>
          <w:sz w:val="24"/>
          <w:szCs w:val="24"/>
          <w:lang w:val="uk-UA"/>
        </w:rPr>
        <w:t>Пізнаваність Каховської громади мало сприяє економічному зростанню, сектор послуг та туристичний бізнес не розвиваються.</w:t>
      </w:r>
    </w:p>
    <w:p>
      <w:pPr>
        <w:pStyle w:val="ListParagraph"/>
        <w:numPr>
          <w:ilvl w:val="0"/>
          <w:numId w:val="5"/>
        </w:numPr>
        <w:ind w:left="567" w:hanging="360"/>
        <w:jc w:val="both"/>
        <w:rPr>
          <w:rFonts w:ascii="Times New Roman" w:hAnsi="Times New Roman" w:cs="Times New Roman"/>
          <w:sz w:val="24"/>
          <w:szCs w:val="24"/>
          <w:lang w:val="uk-UA"/>
        </w:rPr>
      </w:pPr>
      <w:r>
        <w:rPr>
          <w:rFonts w:cs="Times New Roman" w:ascii="Times New Roman" w:hAnsi="Times New Roman"/>
          <w:sz w:val="24"/>
          <w:szCs w:val="24"/>
          <w:lang w:val="uk-UA"/>
        </w:rPr>
        <w:t>Промислові підприємства відчувають труднощі, пов’язані з кризовими явищами, структура економіки громади залишається без суттєвих змін.</w:t>
      </w:r>
    </w:p>
    <w:p>
      <w:pPr>
        <w:pStyle w:val="ListParagraph"/>
        <w:numPr>
          <w:ilvl w:val="0"/>
          <w:numId w:val="5"/>
        </w:numPr>
        <w:ind w:left="567" w:hanging="360"/>
        <w:jc w:val="both"/>
        <w:rPr>
          <w:rFonts w:ascii="Times New Roman" w:hAnsi="Times New Roman" w:cs="Times New Roman"/>
          <w:sz w:val="24"/>
          <w:szCs w:val="24"/>
          <w:lang w:val="uk-UA"/>
        </w:rPr>
      </w:pPr>
      <w:r>
        <w:rPr>
          <w:rFonts w:cs="Times New Roman" w:ascii="Times New Roman" w:hAnsi="Times New Roman"/>
          <w:sz w:val="24"/>
          <w:szCs w:val="24"/>
          <w:lang w:val="uk-UA"/>
        </w:rPr>
        <w:t>Інвестиційний та підприємницький клімат у громаді залишаються на тому ж рівні.</w:t>
      </w:r>
    </w:p>
    <w:p>
      <w:pPr>
        <w:pStyle w:val="ListParagraph"/>
        <w:numPr>
          <w:ilvl w:val="0"/>
          <w:numId w:val="5"/>
        </w:numPr>
        <w:ind w:left="567" w:hanging="360"/>
        <w:jc w:val="both"/>
        <w:rPr>
          <w:rFonts w:ascii="Times New Roman" w:hAnsi="Times New Roman" w:cs="Times New Roman"/>
          <w:sz w:val="24"/>
          <w:szCs w:val="24"/>
          <w:lang w:val="uk-UA"/>
        </w:rPr>
      </w:pPr>
      <w:r>
        <w:rPr>
          <w:rFonts w:cs="Times New Roman" w:ascii="Times New Roman" w:hAnsi="Times New Roman"/>
          <w:sz w:val="24"/>
          <w:szCs w:val="24"/>
          <w:lang w:val="uk-UA"/>
        </w:rPr>
        <w:t>Рівень купівельної спроможності населення зростає повільно.</w:t>
      </w:r>
    </w:p>
    <w:p>
      <w:pPr>
        <w:pStyle w:val="ListParagraph"/>
        <w:numPr>
          <w:ilvl w:val="0"/>
          <w:numId w:val="5"/>
        </w:numPr>
        <w:ind w:left="567" w:hanging="360"/>
        <w:jc w:val="both"/>
        <w:rPr>
          <w:rFonts w:ascii="Times New Roman" w:hAnsi="Times New Roman" w:cs="Times New Roman"/>
          <w:sz w:val="24"/>
          <w:szCs w:val="24"/>
          <w:lang w:val="uk-UA"/>
        </w:rPr>
      </w:pPr>
      <w:r>
        <w:rPr>
          <w:rFonts w:cs="Times New Roman" w:ascii="Times New Roman" w:hAnsi="Times New Roman"/>
          <w:sz w:val="24"/>
          <w:szCs w:val="24"/>
          <w:lang w:val="uk-UA"/>
        </w:rPr>
        <w:t>Рівень реальної бюджетної забезпеченості громади дещо покращується, але окремої уваги потребують витрати на інфраструктуру старостинських округів.</w:t>
      </w:r>
    </w:p>
    <w:p>
      <w:pPr>
        <w:pStyle w:val="ListParagraph"/>
        <w:numPr>
          <w:ilvl w:val="0"/>
          <w:numId w:val="5"/>
        </w:numPr>
        <w:ind w:left="567" w:hanging="360"/>
        <w:jc w:val="both"/>
        <w:rPr>
          <w:rFonts w:ascii="Times New Roman" w:hAnsi="Times New Roman" w:cs="Times New Roman"/>
          <w:sz w:val="24"/>
          <w:szCs w:val="24"/>
          <w:lang w:val="uk-UA"/>
        </w:rPr>
      </w:pPr>
      <w:r>
        <w:rPr>
          <w:rFonts w:cs="Times New Roman" w:ascii="Times New Roman" w:hAnsi="Times New Roman"/>
          <w:sz w:val="24"/>
          <w:szCs w:val="24"/>
          <w:lang w:val="uk-UA"/>
        </w:rPr>
        <w:t>Кошти на модернізацію об’єктів інфраструктури – на тому ж рівні.</w:t>
      </w:r>
    </w:p>
    <w:p>
      <w:pPr>
        <w:pStyle w:val="ListParagraph"/>
        <w:numPr>
          <w:ilvl w:val="0"/>
          <w:numId w:val="5"/>
        </w:numPr>
        <w:ind w:left="567" w:hanging="360"/>
        <w:jc w:val="both"/>
        <w:rPr>
          <w:rFonts w:ascii="Times New Roman" w:hAnsi="Times New Roman" w:cs="Times New Roman"/>
          <w:sz w:val="24"/>
          <w:szCs w:val="24"/>
          <w:lang w:val="uk-UA"/>
        </w:rPr>
      </w:pPr>
      <w:r>
        <w:rPr>
          <w:rFonts w:cs="Times New Roman" w:ascii="Times New Roman" w:hAnsi="Times New Roman"/>
          <w:sz w:val="24"/>
          <w:szCs w:val="24"/>
          <w:lang w:val="uk-UA"/>
        </w:rPr>
        <w:t>Пасивність мешканців продовжує негативно впливати на розвиток громади.</w:t>
      </w:r>
    </w:p>
    <w:p>
      <w:pPr>
        <w:pStyle w:val="Normal"/>
        <w:spacing w:lineRule="auto" w:line="240" w:before="12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120" w:after="0"/>
        <w:jc w:val="both"/>
        <w:rPr>
          <w:rFonts w:ascii="Times New Roman" w:hAnsi="Times New Roman" w:cs="Times New Roman"/>
          <w:sz w:val="24"/>
          <w:szCs w:val="24"/>
        </w:rPr>
      </w:pPr>
      <w:r>
        <w:rPr>
          <w:rFonts w:cs="Times New Roman" w:ascii="Times New Roman" w:hAnsi="Times New Roman"/>
          <w:sz w:val="24"/>
          <w:szCs w:val="24"/>
        </w:rPr>
        <w:t>Результат інерційного сценарію:</w:t>
      </w:r>
    </w:p>
    <w:p>
      <w:pPr>
        <w:pStyle w:val="ListParagraph"/>
        <w:numPr>
          <w:ilvl w:val="0"/>
          <w:numId w:val="9"/>
        </w:numPr>
        <w:ind w:left="567" w:hanging="360"/>
        <w:jc w:val="both"/>
        <w:rPr>
          <w:rFonts w:ascii="Times New Roman" w:hAnsi="Times New Roman" w:cs="Times New Roman"/>
          <w:sz w:val="24"/>
          <w:szCs w:val="24"/>
          <w:lang w:val="uk-UA"/>
        </w:rPr>
      </w:pPr>
      <w:r>
        <w:rPr>
          <w:rFonts w:cs="Times New Roman" w:ascii="Times New Roman" w:hAnsi="Times New Roman"/>
          <w:sz w:val="24"/>
          <w:szCs w:val="24"/>
          <w:lang w:val="uk-UA"/>
        </w:rPr>
        <w:t>Демографічна ситуація залишається без змін, погіршуючись в сільських населених пунктах громади, при цьому вікова структура населення змінюється в бік скорочення працездатного населення та його «старіння», що, відповідно, призводить до зростання навантаження на працездатне населення.</w:t>
      </w:r>
    </w:p>
    <w:p>
      <w:pPr>
        <w:pStyle w:val="ListParagraph"/>
        <w:numPr>
          <w:ilvl w:val="0"/>
          <w:numId w:val="9"/>
        </w:numPr>
        <w:ind w:left="567" w:hanging="360"/>
        <w:jc w:val="both"/>
        <w:rPr>
          <w:rFonts w:ascii="Times New Roman" w:hAnsi="Times New Roman" w:cs="Times New Roman"/>
          <w:sz w:val="24"/>
          <w:szCs w:val="24"/>
          <w:lang w:val="uk-UA"/>
        </w:rPr>
      </w:pPr>
      <w:r>
        <w:rPr>
          <w:rFonts w:cs="Times New Roman" w:ascii="Times New Roman" w:hAnsi="Times New Roman"/>
          <w:sz w:val="24"/>
          <w:szCs w:val="24"/>
          <w:lang w:val="uk-UA"/>
        </w:rPr>
        <w:t xml:space="preserve">Промисловий потенціал Каховської громади без відчутних інвестицій не зростає, можливі скорочення прибутковості за рахунок впливу кризових явищ, пов’язаних з пандемією. </w:t>
      </w:r>
    </w:p>
    <w:p>
      <w:pPr>
        <w:pStyle w:val="ListParagraph"/>
        <w:numPr>
          <w:ilvl w:val="0"/>
          <w:numId w:val="9"/>
        </w:numPr>
        <w:ind w:left="567" w:hanging="360"/>
        <w:jc w:val="both"/>
        <w:rPr>
          <w:rFonts w:ascii="Times New Roman" w:hAnsi="Times New Roman" w:cs="Times New Roman"/>
          <w:sz w:val="24"/>
          <w:szCs w:val="24"/>
          <w:lang w:val="uk-UA"/>
        </w:rPr>
      </w:pPr>
      <w:r>
        <w:rPr>
          <w:rFonts w:cs="Times New Roman" w:ascii="Times New Roman" w:hAnsi="Times New Roman"/>
          <w:sz w:val="24"/>
          <w:szCs w:val="24"/>
          <w:lang w:val="uk-UA"/>
        </w:rPr>
        <w:t>Внаслідок скорочення робочих місць в реальному секторі більшість населення живе за рахунок торгівлі, послуг, бюджетних, пенсійних та соціальних виплат.</w:t>
      </w:r>
    </w:p>
    <w:p>
      <w:pPr>
        <w:pStyle w:val="ListParagraph"/>
        <w:numPr>
          <w:ilvl w:val="0"/>
          <w:numId w:val="9"/>
        </w:numPr>
        <w:ind w:left="567" w:hanging="360"/>
        <w:jc w:val="both"/>
        <w:rPr>
          <w:rFonts w:ascii="Times New Roman" w:hAnsi="Times New Roman" w:cs="Times New Roman"/>
          <w:sz w:val="24"/>
          <w:szCs w:val="24"/>
          <w:lang w:val="uk-UA"/>
        </w:rPr>
      </w:pPr>
      <w:r>
        <w:rPr>
          <w:rFonts w:cs="Times New Roman" w:ascii="Times New Roman" w:hAnsi="Times New Roman"/>
          <w:sz w:val="24"/>
          <w:szCs w:val="24"/>
          <w:lang w:val="uk-UA"/>
        </w:rPr>
        <w:t xml:space="preserve">Трудова міграція зростає. Сільські території продовжують занепадати через відсутність місць праці та реальних джерел доходів сільського населення. </w:t>
      </w:r>
    </w:p>
    <w:p>
      <w:pPr>
        <w:pStyle w:val="ListParagraph"/>
        <w:numPr>
          <w:ilvl w:val="0"/>
          <w:numId w:val="9"/>
        </w:numPr>
        <w:ind w:left="567" w:hanging="360"/>
        <w:jc w:val="both"/>
        <w:rPr>
          <w:rFonts w:ascii="Times New Roman" w:hAnsi="Times New Roman" w:cs="Times New Roman"/>
          <w:sz w:val="24"/>
          <w:szCs w:val="24"/>
          <w:lang w:val="uk-UA"/>
        </w:rPr>
      </w:pPr>
      <w:r>
        <w:rPr>
          <w:rFonts w:cs="Times New Roman" w:ascii="Times New Roman" w:hAnsi="Times New Roman"/>
          <w:sz w:val="24"/>
          <w:szCs w:val="24"/>
          <w:lang w:val="uk-UA"/>
        </w:rPr>
        <w:t xml:space="preserve">Низька інвестиційна привабливість громади не сприяють зниженню рівня тінізації економіки. Реальний сектор економіки повільно скорочується. </w:t>
      </w:r>
    </w:p>
    <w:p>
      <w:pPr>
        <w:pStyle w:val="ListParagraph"/>
        <w:numPr>
          <w:ilvl w:val="0"/>
          <w:numId w:val="9"/>
        </w:numPr>
        <w:ind w:left="567" w:hanging="360"/>
        <w:jc w:val="both"/>
        <w:rPr>
          <w:rFonts w:ascii="Times New Roman" w:hAnsi="Times New Roman" w:cs="Times New Roman"/>
          <w:sz w:val="24"/>
          <w:szCs w:val="24"/>
          <w:lang w:val="uk-UA"/>
        </w:rPr>
      </w:pPr>
      <w:r>
        <w:rPr>
          <w:rFonts w:cs="Times New Roman" w:ascii="Times New Roman" w:hAnsi="Times New Roman"/>
          <w:sz w:val="24"/>
          <w:szCs w:val="24"/>
          <w:lang w:val="uk-UA"/>
        </w:rPr>
        <w:t xml:space="preserve">Внаслідок зростання доходів бюджету після об'єднання дещо покращуються окремі об’єкти інженерно-комунальної інфраструктури громади, однак розпорошення коштів по населених пунктах громади не дозволяє створити кумулятивного ефекту: модернізація інфраструктури розтягується на довгі роки. </w:t>
      </w:r>
    </w:p>
    <w:p>
      <w:pPr>
        <w:pStyle w:val="Normal"/>
        <w:spacing w:lineRule="auto" w:line="240" w:before="0" w:after="0"/>
        <w:jc w:val="both"/>
        <w:rPr>
          <w:rFonts w:ascii="Times New Roman" w:hAnsi="Times New Roman" w:cs="Times New Roman"/>
          <w:sz w:val="6"/>
          <w:szCs w:val="6"/>
        </w:rPr>
      </w:pPr>
      <w:r>
        <w:rPr>
          <w:rFonts w:cs="Times New Roman" w:ascii="Times New Roman" w:hAnsi="Times New Roman"/>
          <w:sz w:val="6"/>
          <w:szCs w:val="6"/>
        </w:rPr>
      </w:r>
    </w:p>
    <w:p>
      <w:pPr>
        <w:pStyle w:val="Normal"/>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t>Модернізаційний сценарій розвитку Каховської громади</w:t>
      </w:r>
    </w:p>
    <w:p>
      <w:pPr>
        <w:pStyle w:val="Normal"/>
        <w:spacing w:lineRule="auto" w:line="240" w:before="0" w:after="0"/>
        <w:ind w:firstLine="708"/>
        <w:jc w:val="both"/>
        <w:rPr>
          <w:rFonts w:ascii="Times New Roman" w:hAnsi="Times New Roman" w:cs="Times New Roman"/>
          <w:bCs/>
          <w:sz w:val="24"/>
          <w:szCs w:val="24"/>
        </w:rPr>
      </w:pPr>
      <w:r>
        <w:rPr>
          <w:rFonts w:cs="Times New Roman" w:ascii="Times New Roman" w:hAnsi="Times New Roman"/>
          <w:bCs/>
          <w:sz w:val="24"/>
          <w:szCs w:val="24"/>
        </w:rPr>
        <w:t>Модернізаційний сценарій розвитку будується на припущеннях, за яких формуються найсприятливіші, та водночас, реалістичні, зовнішні (національні та регіональні) та внутрішні (ті, які громада здатна сформувати самостійно) фактори впливу.</w:t>
      </w:r>
    </w:p>
    <w:p>
      <w:pPr>
        <w:pStyle w:val="Normal"/>
        <w:spacing w:lineRule="auto" w:line="240" w:before="120" w:after="0"/>
        <w:ind w:firstLine="709"/>
        <w:jc w:val="both"/>
        <w:rPr>
          <w:rFonts w:ascii="Times New Roman" w:hAnsi="Times New Roman" w:cs="Times New Roman"/>
          <w:sz w:val="24"/>
          <w:szCs w:val="24"/>
        </w:rPr>
      </w:pPr>
      <w:r>
        <w:rPr>
          <w:rFonts w:cs="Times New Roman" w:ascii="Times New Roman" w:hAnsi="Times New Roman"/>
          <w:sz w:val="24"/>
          <w:szCs w:val="24"/>
        </w:rPr>
        <w:t>Базові припущення модернізаційного сценарію розвитку– національний та регіональний рівень:</w:t>
      </w:r>
    </w:p>
    <w:p>
      <w:pPr>
        <w:pStyle w:val="ListParagraph"/>
        <w:numPr>
          <w:ilvl w:val="0"/>
          <w:numId w:val="6"/>
        </w:numPr>
        <w:ind w:left="567" w:hanging="360"/>
        <w:jc w:val="both"/>
        <w:rPr>
          <w:rFonts w:ascii="Times New Roman" w:hAnsi="Times New Roman" w:cs="Times New Roman"/>
          <w:sz w:val="24"/>
          <w:szCs w:val="24"/>
          <w:lang w:val="uk-UA"/>
        </w:rPr>
      </w:pPr>
      <w:r>
        <w:rPr>
          <w:rFonts w:cs="Times New Roman" w:ascii="Times New Roman" w:hAnsi="Times New Roman"/>
          <w:sz w:val="24"/>
          <w:szCs w:val="24"/>
          <w:lang w:val="uk-UA"/>
        </w:rPr>
        <w:t>Внаслідок тиску Заходу на РФ військове протистояння на Сході України припиняється.</w:t>
      </w:r>
    </w:p>
    <w:p>
      <w:pPr>
        <w:pStyle w:val="ListParagraph"/>
        <w:numPr>
          <w:ilvl w:val="0"/>
          <w:numId w:val="6"/>
        </w:numPr>
        <w:ind w:left="567" w:hanging="360"/>
        <w:jc w:val="both"/>
        <w:rPr>
          <w:rFonts w:ascii="Times New Roman" w:hAnsi="Times New Roman" w:cs="Times New Roman"/>
          <w:sz w:val="24"/>
          <w:szCs w:val="24"/>
          <w:lang w:val="uk-UA"/>
        </w:rPr>
      </w:pPr>
      <w:r>
        <w:rPr>
          <w:rFonts w:cs="Times New Roman" w:ascii="Times New Roman" w:hAnsi="Times New Roman"/>
          <w:sz w:val="24"/>
          <w:szCs w:val="24"/>
          <w:lang w:val="uk-UA"/>
        </w:rPr>
        <w:t>Видатки на оборону країни та підтримки ЗСУ стабілізуються.</w:t>
      </w:r>
    </w:p>
    <w:p>
      <w:pPr>
        <w:pStyle w:val="ListParagraph"/>
        <w:numPr>
          <w:ilvl w:val="0"/>
          <w:numId w:val="6"/>
        </w:numPr>
        <w:ind w:left="567" w:hanging="360"/>
        <w:jc w:val="both"/>
        <w:rPr>
          <w:rFonts w:ascii="Times New Roman" w:hAnsi="Times New Roman" w:cs="Times New Roman"/>
          <w:sz w:val="24"/>
          <w:szCs w:val="24"/>
          <w:lang w:val="uk-UA"/>
        </w:rPr>
      </w:pPr>
      <w:r>
        <w:rPr>
          <w:rFonts w:cs="Times New Roman" w:ascii="Times New Roman" w:hAnsi="Times New Roman"/>
          <w:sz w:val="24"/>
          <w:szCs w:val="24"/>
          <w:lang w:val="uk-UA"/>
        </w:rPr>
        <w:t>Рішуче впроваджуються системні реформи: земельна, судова, податкова, адміністративно-територіальна та ін.</w:t>
      </w:r>
    </w:p>
    <w:p>
      <w:pPr>
        <w:pStyle w:val="ListParagraph"/>
        <w:numPr>
          <w:ilvl w:val="0"/>
          <w:numId w:val="6"/>
        </w:numPr>
        <w:ind w:left="567" w:hanging="360"/>
        <w:jc w:val="both"/>
        <w:rPr>
          <w:rFonts w:ascii="Times New Roman" w:hAnsi="Times New Roman" w:cs="Times New Roman"/>
          <w:sz w:val="24"/>
          <w:szCs w:val="24"/>
          <w:lang w:val="uk-UA"/>
        </w:rPr>
      </w:pPr>
      <w:r>
        <w:rPr>
          <w:rFonts w:cs="Times New Roman" w:ascii="Times New Roman" w:hAnsi="Times New Roman"/>
          <w:sz w:val="24"/>
          <w:szCs w:val="24"/>
          <w:lang w:val="uk-UA"/>
        </w:rPr>
        <w:t>ВВП країни незначно зростає у 2021 році – на 4%, далі починає зростати більш ніж на 5%.</w:t>
      </w:r>
    </w:p>
    <w:p>
      <w:pPr>
        <w:pStyle w:val="ListParagraph"/>
        <w:numPr>
          <w:ilvl w:val="0"/>
          <w:numId w:val="6"/>
        </w:numPr>
        <w:ind w:left="567" w:hanging="360"/>
        <w:jc w:val="both"/>
        <w:rPr>
          <w:rFonts w:ascii="Times New Roman" w:hAnsi="Times New Roman" w:cs="Times New Roman"/>
          <w:sz w:val="24"/>
          <w:szCs w:val="24"/>
          <w:lang w:val="uk-UA"/>
        </w:rPr>
      </w:pPr>
      <w:r>
        <w:rPr>
          <w:rFonts w:cs="Times New Roman" w:ascii="Times New Roman" w:hAnsi="Times New Roman"/>
          <w:sz w:val="24"/>
          <w:szCs w:val="24"/>
          <w:lang w:val="uk-UA"/>
        </w:rPr>
        <w:t>Гривня стабільна, вартість кредитів для бізнесу зменшується до 5-7%.</w:t>
      </w:r>
    </w:p>
    <w:p>
      <w:pPr>
        <w:pStyle w:val="ListParagraph"/>
        <w:numPr>
          <w:ilvl w:val="0"/>
          <w:numId w:val="6"/>
        </w:numPr>
        <w:ind w:left="567" w:hanging="360"/>
        <w:jc w:val="both"/>
        <w:rPr>
          <w:rFonts w:ascii="Times New Roman" w:hAnsi="Times New Roman" w:cs="Times New Roman"/>
          <w:sz w:val="24"/>
          <w:szCs w:val="24"/>
          <w:lang w:val="uk-UA"/>
        </w:rPr>
      </w:pPr>
      <w:r>
        <w:rPr>
          <w:rFonts w:cs="Times New Roman" w:ascii="Times New Roman" w:hAnsi="Times New Roman"/>
          <w:sz w:val="24"/>
          <w:szCs w:val="24"/>
          <w:lang w:val="uk-UA"/>
        </w:rPr>
        <w:t>Інвестиційна привабливість країни покращується.</w:t>
      </w:r>
    </w:p>
    <w:p>
      <w:pPr>
        <w:pStyle w:val="ListParagraph"/>
        <w:numPr>
          <w:ilvl w:val="0"/>
          <w:numId w:val="6"/>
        </w:numPr>
        <w:ind w:left="567" w:hanging="360"/>
        <w:jc w:val="both"/>
        <w:rPr>
          <w:rFonts w:ascii="Times New Roman" w:hAnsi="Times New Roman" w:cs="Times New Roman"/>
          <w:sz w:val="24"/>
          <w:szCs w:val="24"/>
          <w:lang w:val="uk-UA"/>
        </w:rPr>
      </w:pPr>
      <w:r>
        <w:rPr>
          <w:rFonts w:cs="Times New Roman" w:ascii="Times New Roman" w:hAnsi="Times New Roman"/>
          <w:sz w:val="24"/>
          <w:szCs w:val="24"/>
          <w:lang w:val="uk-UA"/>
        </w:rPr>
        <w:t>Податкова реформа поступово виводить бізнес із «тіні».</w:t>
      </w:r>
    </w:p>
    <w:p>
      <w:pPr>
        <w:pStyle w:val="ListParagraph"/>
        <w:numPr>
          <w:ilvl w:val="0"/>
          <w:numId w:val="6"/>
        </w:numPr>
        <w:ind w:left="567" w:hanging="360"/>
        <w:jc w:val="both"/>
        <w:rPr>
          <w:rFonts w:ascii="Times New Roman" w:hAnsi="Times New Roman" w:cs="Times New Roman"/>
          <w:sz w:val="24"/>
          <w:szCs w:val="24"/>
          <w:lang w:val="uk-UA"/>
        </w:rPr>
      </w:pPr>
      <w:r>
        <w:rPr>
          <w:rFonts w:cs="Times New Roman" w:ascii="Times New Roman" w:hAnsi="Times New Roman"/>
          <w:sz w:val="24"/>
          <w:szCs w:val="24"/>
          <w:lang w:val="uk-UA"/>
        </w:rPr>
        <w:t>Соціальна політика держави мінімізує ризики росту неплатежів внаслідок зростання тарифів на комунальні послуги.</w:t>
      </w:r>
    </w:p>
    <w:p>
      <w:pPr>
        <w:pStyle w:val="ListParagraph"/>
        <w:numPr>
          <w:ilvl w:val="0"/>
          <w:numId w:val="6"/>
        </w:numPr>
        <w:ind w:left="567" w:hanging="360"/>
        <w:jc w:val="both"/>
        <w:rPr>
          <w:rFonts w:ascii="Times New Roman" w:hAnsi="Times New Roman" w:cs="Times New Roman"/>
          <w:sz w:val="24"/>
          <w:szCs w:val="24"/>
          <w:lang w:val="uk-UA"/>
        </w:rPr>
      </w:pPr>
      <w:r>
        <w:rPr>
          <w:rFonts w:cs="Times New Roman" w:ascii="Times New Roman" w:hAnsi="Times New Roman"/>
          <w:sz w:val="24"/>
          <w:szCs w:val="24"/>
          <w:lang w:val="uk-UA"/>
        </w:rPr>
        <w:t>Регіональна влада Херсонської області фахово професійно актуалізує та активно впроваджує Стратегію розвитку на 2021-2027 роки.</w:t>
      </w:r>
    </w:p>
    <w:p>
      <w:pPr>
        <w:pStyle w:val="ListParagraph"/>
        <w:numPr>
          <w:ilvl w:val="0"/>
          <w:numId w:val="6"/>
        </w:numPr>
        <w:ind w:left="567" w:hanging="360"/>
        <w:jc w:val="both"/>
        <w:rPr>
          <w:rFonts w:ascii="Times New Roman" w:hAnsi="Times New Roman" w:cs="Times New Roman"/>
          <w:sz w:val="24"/>
          <w:szCs w:val="24"/>
          <w:lang w:val="uk-UA"/>
        </w:rPr>
      </w:pPr>
      <w:r>
        <w:rPr>
          <w:rFonts w:cs="Times New Roman" w:ascii="Times New Roman" w:hAnsi="Times New Roman"/>
          <w:sz w:val="24"/>
          <w:szCs w:val="24"/>
          <w:lang w:val="uk-UA"/>
        </w:rPr>
        <w:t>Ефективно працює ДФРР.</w:t>
      </w:r>
    </w:p>
    <w:p>
      <w:pPr>
        <w:pStyle w:val="Normal"/>
        <w:spacing w:lineRule="auto" w:line="240" w:before="120" w:after="0"/>
        <w:jc w:val="both"/>
        <w:rPr>
          <w:rFonts w:ascii="Times New Roman" w:hAnsi="Times New Roman" w:cs="Times New Roman"/>
          <w:sz w:val="24"/>
          <w:szCs w:val="24"/>
        </w:rPr>
      </w:pPr>
      <w:r>
        <w:rPr>
          <w:rFonts w:cs="Times New Roman" w:ascii="Times New Roman" w:hAnsi="Times New Roman"/>
          <w:sz w:val="24"/>
          <w:szCs w:val="24"/>
        </w:rPr>
        <w:t>Базові припущення модернізаційного сценарію розвитку – місцевий рівень:</w:t>
      </w:r>
    </w:p>
    <w:p>
      <w:pPr>
        <w:pStyle w:val="ListParagraph"/>
        <w:numPr>
          <w:ilvl w:val="0"/>
          <w:numId w:val="7"/>
        </w:numPr>
        <w:ind w:left="567" w:hanging="360"/>
        <w:jc w:val="both"/>
        <w:rPr>
          <w:rFonts w:ascii="Times New Roman" w:hAnsi="Times New Roman" w:cs="Times New Roman"/>
          <w:sz w:val="24"/>
          <w:szCs w:val="24"/>
          <w:lang w:val="uk-UA"/>
        </w:rPr>
      </w:pPr>
      <w:r>
        <w:rPr>
          <w:rFonts w:cs="Times New Roman" w:ascii="Times New Roman" w:hAnsi="Times New Roman"/>
          <w:sz w:val="24"/>
          <w:szCs w:val="24"/>
          <w:lang w:val="uk-UA"/>
        </w:rPr>
        <w:t>Місцевій владі вдається сформувати основні планувальні документи ТГ: стратегія, комплексний план просторового розвитку, генеральні плани всіх населених пунктів.</w:t>
      </w:r>
    </w:p>
    <w:p>
      <w:pPr>
        <w:pStyle w:val="ListParagraph"/>
        <w:numPr>
          <w:ilvl w:val="0"/>
          <w:numId w:val="7"/>
        </w:numPr>
        <w:ind w:left="567" w:hanging="360"/>
        <w:jc w:val="both"/>
        <w:rPr>
          <w:rFonts w:ascii="Times New Roman" w:hAnsi="Times New Roman" w:cs="Times New Roman"/>
          <w:sz w:val="24"/>
          <w:szCs w:val="24"/>
          <w:lang w:val="uk-UA"/>
        </w:rPr>
      </w:pPr>
      <w:r>
        <w:rPr>
          <w:rFonts w:cs="Times New Roman" w:ascii="Times New Roman" w:hAnsi="Times New Roman"/>
          <w:sz w:val="24"/>
          <w:szCs w:val="24"/>
          <w:lang w:val="uk-UA"/>
        </w:rPr>
        <w:t>Громада визначає «якірні точки» зростання та відновлює власну економічну та туристичну ідентичність. Навколо визначених пріоритетних секторів економіки об’єднуються підприємці.</w:t>
      </w:r>
    </w:p>
    <w:p>
      <w:pPr>
        <w:pStyle w:val="ListParagraph"/>
        <w:numPr>
          <w:ilvl w:val="0"/>
          <w:numId w:val="7"/>
        </w:numPr>
        <w:ind w:left="567" w:hanging="360"/>
        <w:jc w:val="both"/>
        <w:rPr>
          <w:rFonts w:ascii="Times New Roman" w:hAnsi="Times New Roman" w:cs="Times New Roman"/>
          <w:sz w:val="24"/>
          <w:szCs w:val="24"/>
          <w:lang w:val="uk-UA"/>
        </w:rPr>
      </w:pPr>
      <w:r>
        <w:rPr>
          <w:rFonts w:cs="Times New Roman" w:ascii="Times New Roman" w:hAnsi="Times New Roman"/>
          <w:sz w:val="24"/>
          <w:szCs w:val="24"/>
          <w:lang w:val="uk-UA"/>
        </w:rPr>
        <w:t>Підприємницький та інвестиційний клімат громади покращується, зростає інтерес інвесторів до впровадження бізнес проектів на території громади, перш за все, у пріоритетних секторах.</w:t>
      </w:r>
    </w:p>
    <w:p>
      <w:pPr>
        <w:pStyle w:val="ListParagraph"/>
        <w:numPr>
          <w:ilvl w:val="0"/>
          <w:numId w:val="7"/>
        </w:numPr>
        <w:ind w:left="567" w:hanging="360"/>
        <w:jc w:val="both"/>
        <w:rPr>
          <w:rFonts w:ascii="Times New Roman" w:hAnsi="Times New Roman" w:cs="Times New Roman"/>
          <w:sz w:val="24"/>
          <w:szCs w:val="24"/>
          <w:lang w:val="uk-UA"/>
        </w:rPr>
      </w:pPr>
      <w:r>
        <w:rPr>
          <w:rFonts w:cs="Times New Roman" w:ascii="Times New Roman" w:hAnsi="Times New Roman"/>
          <w:sz w:val="24"/>
          <w:szCs w:val="24"/>
          <w:lang w:val="uk-UA"/>
        </w:rPr>
        <w:t>Завдяки цілеспрямованій роботі суттєво зростає якість життя мешканців.</w:t>
      </w:r>
    </w:p>
    <w:p>
      <w:pPr>
        <w:pStyle w:val="ListParagraph"/>
        <w:numPr>
          <w:ilvl w:val="0"/>
          <w:numId w:val="7"/>
        </w:numPr>
        <w:ind w:left="567" w:hanging="360"/>
        <w:jc w:val="both"/>
        <w:rPr>
          <w:rFonts w:ascii="Times New Roman" w:hAnsi="Times New Roman" w:cs="Times New Roman"/>
          <w:sz w:val="24"/>
          <w:szCs w:val="24"/>
          <w:lang w:val="uk-UA"/>
        </w:rPr>
      </w:pPr>
      <w:r>
        <w:rPr>
          <w:rFonts w:cs="Times New Roman" w:ascii="Times New Roman" w:hAnsi="Times New Roman"/>
          <w:sz w:val="24"/>
          <w:szCs w:val="24"/>
          <w:lang w:val="uk-UA"/>
        </w:rPr>
        <w:t>Громада активно бере участь у проєктах міжнародної технічної допомоги, отримується передовий досвід, зростає спроможність місцевої влади ефективно реалізовувати свої повноваження.</w:t>
      </w:r>
    </w:p>
    <w:p>
      <w:pPr>
        <w:pStyle w:val="ListParagraph"/>
        <w:numPr>
          <w:ilvl w:val="0"/>
          <w:numId w:val="7"/>
        </w:numPr>
        <w:ind w:left="567" w:hanging="360"/>
        <w:jc w:val="both"/>
        <w:rPr>
          <w:rFonts w:ascii="Times New Roman" w:hAnsi="Times New Roman" w:cs="Times New Roman"/>
          <w:sz w:val="24"/>
          <w:szCs w:val="24"/>
          <w:lang w:val="uk-UA"/>
        </w:rPr>
      </w:pPr>
      <w:r>
        <w:rPr>
          <w:rFonts w:cs="Times New Roman" w:ascii="Times New Roman" w:hAnsi="Times New Roman"/>
          <w:sz w:val="24"/>
          <w:szCs w:val="24"/>
          <w:lang w:val="uk-UA"/>
        </w:rPr>
        <w:t>Громада є активним учасником впровадження Стратегії розвитку регіону та, відповідно, реципієнтом Державного фонду регіонального розвитку.</w:t>
      </w:r>
    </w:p>
    <w:p>
      <w:pPr>
        <w:pStyle w:val="ListParagraph"/>
        <w:numPr>
          <w:ilvl w:val="0"/>
          <w:numId w:val="7"/>
        </w:numPr>
        <w:ind w:left="567" w:hanging="360"/>
        <w:jc w:val="both"/>
        <w:rPr>
          <w:rFonts w:ascii="Times New Roman" w:hAnsi="Times New Roman" w:cs="Times New Roman"/>
          <w:sz w:val="24"/>
          <w:szCs w:val="24"/>
          <w:lang w:val="uk-UA"/>
        </w:rPr>
      </w:pPr>
      <w:r>
        <w:rPr>
          <w:rFonts w:cs="Times New Roman" w:ascii="Times New Roman" w:hAnsi="Times New Roman"/>
          <w:sz w:val="24"/>
          <w:szCs w:val="24"/>
          <w:lang w:val="uk-UA"/>
        </w:rPr>
        <w:t>Держава продовжує підтримувати базовий рівень ОМС, громада отримує та ефективно використовує цільові державні субвенції на соціально-економічний розвиток та покращення інфраструктури.</w:t>
      </w:r>
    </w:p>
    <w:p>
      <w:pPr>
        <w:pStyle w:val="Normal"/>
        <w:spacing w:lineRule="auto" w:line="240" w:before="120" w:after="0"/>
        <w:jc w:val="both"/>
        <w:rPr>
          <w:rFonts w:ascii="Times New Roman" w:hAnsi="Times New Roman" w:cs="Times New Roman"/>
          <w:sz w:val="24"/>
          <w:szCs w:val="24"/>
        </w:rPr>
      </w:pPr>
      <w:r>
        <w:rPr>
          <w:rFonts w:cs="Times New Roman" w:ascii="Times New Roman" w:hAnsi="Times New Roman"/>
          <w:sz w:val="24"/>
          <w:szCs w:val="24"/>
        </w:rPr>
        <w:t>Результат модернізаційного сценарію розвитку:</w:t>
      </w:r>
    </w:p>
    <w:p>
      <w:pPr>
        <w:pStyle w:val="ListParagraph"/>
        <w:numPr>
          <w:ilvl w:val="0"/>
          <w:numId w:val="8"/>
        </w:numPr>
        <w:ind w:left="567" w:hanging="360"/>
        <w:jc w:val="both"/>
        <w:rPr>
          <w:rFonts w:ascii="Times New Roman" w:hAnsi="Times New Roman" w:cs="Times New Roman"/>
          <w:sz w:val="24"/>
          <w:szCs w:val="24"/>
          <w:lang w:val="uk-UA"/>
        </w:rPr>
      </w:pPr>
      <w:r>
        <w:rPr>
          <w:rFonts w:cs="Times New Roman" w:ascii="Times New Roman" w:hAnsi="Times New Roman"/>
          <w:sz w:val="24"/>
          <w:szCs w:val="24"/>
          <w:lang w:val="uk-UA"/>
        </w:rPr>
        <w:t>Каховська громада відновлює свій статус як промислово розвинута інвестиційно приваблива територія, з пріоритетами у машинобудівній промисловості та туризмі, ефективному агропромисловому секторі. Створені умови для високого рівня використання відновлювальних та альтернативних  джерел енергії.</w:t>
      </w:r>
    </w:p>
    <w:p>
      <w:pPr>
        <w:pStyle w:val="ListParagraph"/>
        <w:numPr>
          <w:ilvl w:val="0"/>
          <w:numId w:val="8"/>
        </w:numPr>
        <w:ind w:left="567" w:hanging="360"/>
        <w:jc w:val="both"/>
        <w:rPr>
          <w:rFonts w:ascii="Times New Roman" w:hAnsi="Times New Roman" w:cs="Times New Roman"/>
          <w:sz w:val="24"/>
          <w:szCs w:val="24"/>
          <w:lang w:val="uk-UA"/>
        </w:rPr>
      </w:pPr>
      <w:r>
        <w:rPr>
          <w:rFonts w:cs="Times New Roman" w:ascii="Times New Roman" w:hAnsi="Times New Roman"/>
          <w:sz w:val="24"/>
          <w:szCs w:val="24"/>
          <w:lang w:val="uk-UA"/>
        </w:rPr>
        <w:t xml:space="preserve">Внаслідок ефективної політики місцевої та регіональної влади громада залучає стратегічних інвесторів у пріоритетні галузі економіки та сільського господарства. </w:t>
      </w:r>
    </w:p>
    <w:p>
      <w:pPr>
        <w:pStyle w:val="ListParagraph"/>
        <w:numPr>
          <w:ilvl w:val="0"/>
          <w:numId w:val="8"/>
        </w:numPr>
        <w:ind w:left="567" w:hanging="360"/>
        <w:jc w:val="both"/>
        <w:rPr>
          <w:rFonts w:ascii="Times New Roman" w:hAnsi="Times New Roman" w:cs="Times New Roman"/>
          <w:sz w:val="24"/>
          <w:szCs w:val="24"/>
          <w:lang w:val="uk-UA"/>
        </w:rPr>
      </w:pPr>
      <w:r>
        <w:rPr>
          <w:rFonts w:cs="Times New Roman" w:ascii="Times New Roman" w:hAnsi="Times New Roman"/>
          <w:sz w:val="24"/>
          <w:szCs w:val="24"/>
          <w:lang w:val="uk-UA"/>
        </w:rPr>
        <w:t xml:space="preserve">Громада здійснює інвентаризацію земель та комерційної нерухомості, формує портфель привабливих інвестиційних пропозицій, активно просуваючи їх на інвестиційні ринки. </w:t>
      </w:r>
    </w:p>
    <w:p>
      <w:pPr>
        <w:pStyle w:val="ListParagraph"/>
        <w:numPr>
          <w:ilvl w:val="0"/>
          <w:numId w:val="8"/>
        </w:numPr>
        <w:ind w:left="567" w:hanging="360"/>
        <w:jc w:val="both"/>
        <w:rPr>
          <w:rFonts w:ascii="Times New Roman" w:hAnsi="Times New Roman" w:cs="Times New Roman"/>
          <w:sz w:val="24"/>
          <w:szCs w:val="24"/>
          <w:lang w:val="uk-UA"/>
        </w:rPr>
      </w:pPr>
      <w:r>
        <w:rPr>
          <w:rFonts w:cs="Times New Roman" w:ascii="Times New Roman" w:hAnsi="Times New Roman"/>
          <w:sz w:val="24"/>
          <w:szCs w:val="24"/>
          <w:lang w:val="uk-UA"/>
        </w:rPr>
        <w:t>Місцеві підприємці формують виробничі об’єднання, зменшується «тінізація» існуючого бізнесу, дохідна частина бюджету зростає.</w:t>
      </w:r>
    </w:p>
    <w:p>
      <w:pPr>
        <w:pStyle w:val="ListParagraph"/>
        <w:numPr>
          <w:ilvl w:val="0"/>
          <w:numId w:val="8"/>
        </w:numPr>
        <w:ind w:left="567" w:hanging="360"/>
        <w:jc w:val="both"/>
        <w:rPr>
          <w:rFonts w:ascii="Times New Roman" w:hAnsi="Times New Roman" w:cs="Times New Roman"/>
          <w:sz w:val="24"/>
          <w:szCs w:val="24"/>
          <w:lang w:val="uk-UA"/>
        </w:rPr>
      </w:pPr>
      <w:r>
        <w:rPr>
          <w:rFonts w:cs="Times New Roman" w:ascii="Times New Roman" w:hAnsi="Times New Roman"/>
          <w:sz w:val="24"/>
          <w:szCs w:val="24"/>
          <w:lang w:val="uk-UA"/>
        </w:rPr>
        <w:t>У сфері послуг та навколо провідних підприємств активізується малий бізнес, заповнюючи нішу постачальників, логістики та послуг. Активно просувається бренд Каховки, як місця проведення масштабних культурних подій.</w:t>
      </w:r>
    </w:p>
    <w:p>
      <w:pPr>
        <w:pStyle w:val="ListParagraph"/>
        <w:numPr>
          <w:ilvl w:val="0"/>
          <w:numId w:val="8"/>
        </w:numPr>
        <w:ind w:left="567" w:hanging="360"/>
        <w:jc w:val="both"/>
        <w:rPr>
          <w:rFonts w:ascii="Times New Roman" w:hAnsi="Times New Roman" w:cs="Times New Roman"/>
          <w:sz w:val="24"/>
          <w:szCs w:val="24"/>
          <w:lang w:val="uk-UA"/>
        </w:rPr>
      </w:pPr>
      <w:r>
        <w:rPr>
          <w:rFonts w:cs="Times New Roman" w:ascii="Times New Roman" w:hAnsi="Times New Roman"/>
          <w:sz w:val="24"/>
          <w:szCs w:val="24"/>
          <w:lang w:val="uk-UA"/>
        </w:rPr>
        <w:t>Зростає рівень доходів населення, що пожвавлює внутрішній ринок.</w:t>
      </w:r>
    </w:p>
    <w:p>
      <w:pPr>
        <w:pStyle w:val="ListParagraph"/>
        <w:numPr>
          <w:ilvl w:val="0"/>
          <w:numId w:val="8"/>
        </w:numPr>
        <w:ind w:left="567" w:hanging="360"/>
        <w:jc w:val="both"/>
        <w:rPr>
          <w:rFonts w:ascii="Times New Roman" w:hAnsi="Times New Roman" w:cs="Times New Roman"/>
          <w:sz w:val="24"/>
          <w:szCs w:val="24"/>
          <w:lang w:val="uk-UA"/>
        </w:rPr>
      </w:pPr>
      <w:r>
        <w:rPr>
          <w:rFonts w:cs="Times New Roman" w:ascii="Times New Roman" w:hAnsi="Times New Roman"/>
          <w:sz w:val="24"/>
          <w:szCs w:val="24"/>
          <w:lang w:val="uk-UA"/>
        </w:rPr>
        <w:t xml:space="preserve">Активне залучення державних субвенції та коштів з ДФРР разом з чітким планом модернізації інженерної та соціальної інфраструктури в середньостроковій перспективі дозволять значно підвищити рівень комфорту та якості життя мешканців. </w:t>
      </w:r>
    </w:p>
    <w:p>
      <w:pPr>
        <w:pStyle w:val="ListParagraph"/>
        <w:numPr>
          <w:ilvl w:val="0"/>
          <w:numId w:val="8"/>
        </w:numPr>
        <w:ind w:left="567" w:hanging="360"/>
        <w:jc w:val="both"/>
        <w:rPr/>
      </w:pPr>
      <w:bookmarkStart w:id="90" w:name="_Hlk43447230"/>
      <w:bookmarkEnd w:id="90"/>
      <w:r>
        <w:rPr>
          <w:rFonts w:cs="Times New Roman" w:ascii="Times New Roman" w:hAnsi="Times New Roman"/>
          <w:sz w:val="24"/>
          <w:szCs w:val="24"/>
          <w:lang w:val="uk-UA"/>
        </w:rPr>
        <w:t xml:space="preserve">Демографічна ситуація поступово покращується, в першу чергу, за рахунок позитивної міграції. </w:t>
      </w:r>
    </w:p>
    <w:p>
      <w:pPr>
        <w:pStyle w:val="Normal"/>
        <w:rPr>
          <w:rFonts w:ascii="Times New Roman" w:hAnsi="Times New Roman" w:cs="Times New Roman"/>
          <w:color w:val="1A1A1A" w:themeColor="background1" w:themeShade="1a"/>
          <w:sz w:val="24"/>
          <w:szCs w:val="24"/>
        </w:rPr>
      </w:pPr>
      <w:r>
        <w:rPr>
          <w:rFonts w:cs="Times New Roman" w:ascii="Times New Roman" w:hAnsi="Times New Roman"/>
          <w:color w:val="1A1A1A" w:themeColor="background1" w:themeShade="1a"/>
          <w:sz w:val="24"/>
          <w:szCs w:val="24"/>
        </w:rPr>
      </w:r>
    </w:p>
    <w:p>
      <w:pPr>
        <w:pStyle w:val="1"/>
        <w:pageBreakBefore w:val="false"/>
        <w:tabs>
          <w:tab w:val="left" w:pos="284" w:leader="none"/>
          <w:tab w:val="left" w:pos="567" w:leader="none"/>
        </w:tabs>
        <w:spacing w:lineRule="auto" w:line="240" w:before="0" w:after="0"/>
        <w:ind w:left="426" w:hanging="426"/>
        <w:rPr>
          <w:rFonts w:ascii="Times New Roman" w:hAnsi="Times New Roman" w:cs="Times New Roman"/>
          <w:sz w:val="26"/>
          <w:szCs w:val="26"/>
        </w:rPr>
      </w:pPr>
      <w:bookmarkStart w:id="91" w:name="_Toc84967180"/>
      <w:bookmarkStart w:id="92" w:name="_Hlk43454708"/>
      <w:bookmarkEnd w:id="91"/>
      <w:bookmarkEnd w:id="92"/>
      <w:r>
        <w:rPr>
          <w:rFonts w:cs="Times New Roman" w:ascii="Times New Roman" w:hAnsi="Times New Roman"/>
          <w:sz w:val="26"/>
          <w:szCs w:val="26"/>
        </w:rPr>
        <w:t>ІІІ. СТРАТЕГІЧНЕ БАЧЕННЯ РОЗВИТКУ КАХОВСЬКОЇ МІСЬКОЇ ТЕРИТОРІАЛЬНОЇ ГРОМАДИ</w:t>
      </w:r>
    </w:p>
    <w:p>
      <w:pPr>
        <w:pStyle w:val="Normal"/>
        <w:spacing w:lineRule="auto" w:line="24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Висновки з аналітичного розділу, результати опитування мешканців, а також оцінка факторів, що впливають на стратегічний розвиток, дають підґрунтя сформулювати стратегічне бачення Каховської територіальної громади </w:t>
      </w:r>
      <w:r>
        <w:rPr>
          <w:rFonts w:cs="Times New Roman" w:ascii="Times New Roman" w:hAnsi="Times New Roman"/>
          <w:sz w:val="24"/>
          <w:szCs w:val="24"/>
        </w:rPr>
        <w:t>(за результатами засідання Робочої групи 15 квітня 2021 року)</w:t>
      </w:r>
      <w:r>
        <w:rPr>
          <w:rFonts w:eastAsia="Times New Roman" w:cs="Times New Roman" w:ascii="Times New Roman" w:hAnsi="Times New Roman"/>
          <w:sz w:val="24"/>
          <w:szCs w:val="24"/>
        </w:rPr>
        <w:t>. Стратегічне бачення розвитку територіальної громади – бажана/уявна перспектива соціально-економічного та інноваційного розвитку територіальної громади в довгостроковому періоді з урахуванням її унікальних особливостей (громада майбутнього у очах жителів).</w:t>
      </w:r>
    </w:p>
    <w:p>
      <w:pPr>
        <w:pStyle w:val="Normal"/>
        <w:spacing w:lineRule="auto" w:line="24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Стратегічне бачення враховує специфічні ознаки громади та визначає бажаний для її населення образ в перспективі 2027 року, окреслює узгоджений, різносторонній та оптимістичний погляд на те, як територіальна громада має виглядати в майбутньому. </w:t>
      </w:r>
    </w:p>
    <w:p>
      <w:pPr>
        <w:pStyle w:val="Normal"/>
        <w:spacing w:lineRule="auto" w:line="240" w:before="120" w:after="0"/>
        <w:ind w:firstLine="709"/>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Стратегічне бачення є основою завдань, виконання яких визначено Стратегією розвитку Каховської громади:</w:t>
      </w:r>
    </w:p>
    <w:p>
      <w:pPr>
        <w:pStyle w:val="Normal"/>
        <w:spacing w:lineRule="auto" w:line="240" w:before="0" w:after="0"/>
        <w:jc w:val="both"/>
        <w:rPr>
          <w:rFonts w:ascii="Times New Roman" w:hAnsi="Times New Roman" w:cs="Times New Roman"/>
        </w:rPr>
      </w:pPr>
      <w:r>
        <w:rPr>
          <w:rFonts w:cs="Times New Roman" w:ascii="Times New Roman" w:hAnsi="Times New Roman"/>
        </w:rPr>
      </w:r>
    </w:p>
    <w:p>
      <w:pPr>
        <w:pStyle w:val="Normal"/>
        <w:spacing w:lineRule="auto" w:line="240" w:before="0" w:after="0"/>
        <w:jc w:val="both"/>
        <w:rPr>
          <w:rFonts w:ascii="Times New Roman" w:hAnsi="Times New Roman" w:cs="Times New Roman"/>
        </w:rPr>
      </w:pPr>
      <w:r>
        <w:rPr>
          <w:rFonts w:cs="Times New Roman" w:ascii="Times New Roman" w:hAnsi="Times New Roman"/>
        </w:rPr>
      </w:r>
    </w:p>
    <w:p>
      <w:pPr>
        <w:pStyle w:val="Normal"/>
        <w:spacing w:lineRule="auto" w:line="240" w:before="0" w:after="0"/>
        <w:jc w:val="both"/>
        <w:rPr>
          <w:rFonts w:ascii="Times New Roman" w:hAnsi="Times New Roman" w:cs="Times New Roman"/>
        </w:rPr>
      </w:pPr>
      <w:r>
        <w:rPr>
          <w:rFonts w:cs="Times New Roman" w:ascii="Times New Roman" w:hAnsi="Times New Roman"/>
        </w:rPr>
      </w:r>
    </w:p>
    <w:p>
      <w:pPr>
        <w:pStyle w:val="Normal"/>
        <w:pBdr>
          <w:top w:val="single" w:sz="4" w:space="1" w:color="00000A"/>
          <w:left w:val="single" w:sz="4" w:space="1" w:color="00000A"/>
          <w:bottom w:val="single" w:sz="4" w:space="1" w:color="00000A"/>
          <w:right w:val="single" w:sz="4" w:space="4" w:color="00000A"/>
        </w:pBdr>
        <w:shd w:val="clear" w:color="auto" w:fill="CAFDC3"/>
        <w:spacing w:lineRule="auto" w:line="240" w:before="120" w:after="0"/>
        <w:rPr>
          <w:rFonts w:ascii="Times New Roman" w:hAnsi="Times New Roman" w:cs="Times New Roman"/>
          <w:b/>
          <w:b/>
          <w:sz w:val="26"/>
          <w:szCs w:val="26"/>
        </w:rPr>
      </w:pPr>
      <w:r>
        <w:rPr>
          <w:rFonts w:cs="Times New Roman" w:ascii="Times New Roman" w:hAnsi="Times New Roman"/>
          <w:b/>
          <w:sz w:val="26"/>
          <w:szCs w:val="26"/>
        </w:rPr>
        <w:t xml:space="preserve">Каховська територіальна громада 2027 року – </w:t>
      </w:r>
    </w:p>
    <w:p>
      <w:pPr>
        <w:pStyle w:val="Normal"/>
        <w:pBdr>
          <w:top w:val="single" w:sz="4" w:space="1" w:color="00000A"/>
          <w:left w:val="single" w:sz="4" w:space="1" w:color="00000A"/>
          <w:bottom w:val="single" w:sz="4" w:space="1" w:color="00000A"/>
          <w:right w:val="single" w:sz="4" w:space="4" w:color="00000A"/>
        </w:pBdr>
        <w:shd w:val="clear" w:color="auto" w:fill="CAFDC3"/>
        <w:spacing w:lineRule="auto" w:line="240" w:before="120" w:after="0"/>
        <w:rPr>
          <w:rFonts w:ascii="Times New Roman" w:hAnsi="Times New Roman" w:cs="Times New Roman"/>
          <w:bCs/>
          <w:sz w:val="26"/>
          <w:szCs w:val="26"/>
        </w:rPr>
      </w:pPr>
      <w:r>
        <w:rPr>
          <w:rFonts w:cs="Times New Roman" w:ascii="Times New Roman" w:hAnsi="Times New Roman"/>
          <w:bCs/>
          <w:sz w:val="26"/>
          <w:szCs w:val="26"/>
        </w:rPr>
        <w:t>це степова перлина Херсонщини, смарагд у золоті ланів, омитий акваторією великого Дніпра, де у просторах степів мчить “Легендарна Тачанка”.</w:t>
      </w:r>
    </w:p>
    <w:p>
      <w:pPr>
        <w:pStyle w:val="Normal"/>
        <w:pBdr>
          <w:top w:val="single" w:sz="4" w:space="1" w:color="00000A"/>
          <w:left w:val="single" w:sz="4" w:space="1" w:color="00000A"/>
          <w:bottom w:val="single" w:sz="4" w:space="1" w:color="00000A"/>
          <w:right w:val="single" w:sz="4" w:space="4" w:color="00000A"/>
        </w:pBdr>
        <w:shd w:val="clear" w:color="auto" w:fill="CAFDC3"/>
        <w:spacing w:lineRule="auto" w:line="240" w:before="120" w:after="0"/>
        <w:rPr>
          <w:rFonts w:ascii="Times New Roman" w:hAnsi="Times New Roman" w:cs="Times New Roman"/>
          <w:bCs/>
          <w:sz w:val="26"/>
          <w:szCs w:val="26"/>
        </w:rPr>
      </w:pPr>
      <w:r>
        <w:rPr>
          <w:rFonts w:cs="Times New Roman" w:ascii="Times New Roman" w:hAnsi="Times New Roman"/>
          <w:bCs/>
          <w:sz w:val="26"/>
          <w:szCs w:val="26"/>
        </w:rPr>
        <w:t>Громада розташована на чумацькому шляху з розвинутим логістично-туристичним напрямком, сільськогосподарським та промисловим комплексом, орієнтованим на експорт, привабливим інвестиційним кліматом.</w:t>
      </w:r>
    </w:p>
    <w:p>
      <w:pPr>
        <w:pStyle w:val="Normal"/>
        <w:pBdr>
          <w:top w:val="single" w:sz="4" w:space="1" w:color="00000A"/>
          <w:left w:val="single" w:sz="4" w:space="1" w:color="00000A"/>
          <w:bottom w:val="single" w:sz="4" w:space="1" w:color="00000A"/>
          <w:right w:val="single" w:sz="4" w:space="4" w:color="00000A"/>
        </w:pBdr>
        <w:shd w:val="clear" w:color="auto" w:fill="CAFDC3"/>
        <w:spacing w:lineRule="auto" w:line="240" w:before="120" w:after="0"/>
        <w:rPr>
          <w:rFonts w:ascii="Times New Roman" w:hAnsi="Times New Roman" w:cs="Times New Roman"/>
          <w:bCs/>
          <w:sz w:val="26"/>
          <w:szCs w:val="26"/>
        </w:rPr>
      </w:pPr>
      <w:r>
        <w:rPr>
          <w:rFonts w:cs="Times New Roman" w:ascii="Times New Roman" w:hAnsi="Times New Roman"/>
          <w:bCs/>
          <w:sz w:val="26"/>
          <w:szCs w:val="26"/>
        </w:rPr>
        <w:t>Територія з багатим історичним минулим, унікальним географічно вигідним розташуванням та найбільшою меліоративною системою в Європі, розміщеною на березі Дніпра з запасами якісної питної води.</w:t>
      </w:r>
    </w:p>
    <w:p>
      <w:pPr>
        <w:pStyle w:val="Normal"/>
        <w:pBdr>
          <w:top w:val="single" w:sz="4" w:space="1" w:color="00000A"/>
          <w:left w:val="single" w:sz="4" w:space="1" w:color="00000A"/>
          <w:bottom w:val="single" w:sz="4" w:space="1" w:color="00000A"/>
          <w:right w:val="single" w:sz="4" w:space="4" w:color="00000A"/>
        </w:pBdr>
        <w:shd w:val="clear" w:color="auto" w:fill="CAFDC3"/>
        <w:spacing w:lineRule="auto" w:line="240" w:before="120" w:after="0"/>
        <w:rPr>
          <w:rFonts w:ascii="Times New Roman" w:hAnsi="Times New Roman" w:cs="Times New Roman"/>
          <w:bCs/>
          <w:sz w:val="26"/>
          <w:szCs w:val="26"/>
        </w:rPr>
      </w:pPr>
      <w:r>
        <w:rPr>
          <w:rFonts w:cs="Times New Roman" w:ascii="Times New Roman" w:hAnsi="Times New Roman"/>
          <w:bCs/>
          <w:sz w:val="26"/>
          <w:szCs w:val="26"/>
        </w:rPr>
        <w:t>Це унікальний простір, де створені можливості для комфортного та безпечного життя мешканців громади та потужний молодіжний центр.</w:t>
      </w:r>
    </w:p>
    <w:p>
      <w:pPr>
        <w:pStyle w:val="Normal"/>
        <w:spacing w:lineRule="auto" w:line="240" w:before="120" w:after="0"/>
        <w:ind w:firstLine="709"/>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Для досягнення стратегічного бачення були визначені пріоритетні напрямки розвитку Каховської громади, які є найважливішими з огляду на створення ними в довготерміновій перспективі найбільш реальних можливостей для зростання:</w:t>
      </w:r>
    </w:p>
    <w:p>
      <w:pPr>
        <w:pStyle w:val="Normal"/>
        <w:spacing w:lineRule="auto" w:line="240" w:before="120" w:after="0"/>
        <w:ind w:left="142"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t>1</w:t>
      </w:r>
      <w:r>
        <w:rPr>
          <w:rFonts w:eastAsia="Times New Roman" w:cs="Times New Roman" w:ascii="Times New Roman" w:hAnsi="Times New Roman"/>
          <w:sz w:val="24"/>
          <w:szCs w:val="24"/>
          <w:lang w:val="ru-RU"/>
        </w:rPr>
        <w:t>.</w:t>
      </w:r>
      <w:r>
        <w:rPr>
          <w:rFonts w:cs="Times New Roman" w:ascii="Times New Roman" w:hAnsi="Times New Roman"/>
          <w:sz w:val="24"/>
          <w:szCs w:val="24"/>
        </w:rPr>
        <w:t xml:space="preserve"> Економічний розвиток Каховської громади</w:t>
      </w:r>
      <w:bookmarkStart w:id="93" w:name="_Hlk21244816"/>
      <w:bookmarkEnd w:id="93"/>
      <w:r>
        <w:rPr>
          <w:rFonts w:eastAsia="Times New Roman" w:cs="Times New Roman" w:ascii="Times New Roman" w:hAnsi="Times New Roman"/>
          <w:sz w:val="24"/>
          <w:szCs w:val="24"/>
        </w:rPr>
        <w:t>.</w:t>
      </w:r>
    </w:p>
    <w:p>
      <w:pPr>
        <w:pStyle w:val="Normal"/>
        <w:spacing w:lineRule="auto" w:line="240" w:before="0" w:after="0"/>
        <w:ind w:left="142"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t>2. Розвиток людського капіталу та соціальної інфраструктури.</w:t>
      </w:r>
    </w:p>
    <w:p>
      <w:pPr>
        <w:pStyle w:val="Normal"/>
        <w:spacing w:lineRule="auto" w:line="240" w:before="0" w:after="0"/>
        <w:ind w:left="142"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t>3. Висока якість життя та послуг для мешканців громади.</w:t>
      </w:r>
    </w:p>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1"/>
        <w:pageBreakBefore w:val="false"/>
        <w:tabs>
          <w:tab w:val="left" w:pos="284" w:leader="none"/>
          <w:tab w:val="left" w:pos="567" w:leader="none"/>
        </w:tabs>
        <w:spacing w:lineRule="auto" w:line="240" w:before="0" w:after="0"/>
        <w:ind w:left="426" w:hanging="426"/>
        <w:rPr>
          <w:rFonts w:ascii="Times New Roman" w:hAnsi="Times New Roman" w:cs="Times New Roman"/>
          <w:sz w:val="26"/>
          <w:szCs w:val="26"/>
        </w:rPr>
      </w:pPr>
      <w:bookmarkStart w:id="94" w:name="_Toc84967181"/>
      <w:bookmarkStart w:id="95" w:name="_Hlk43455373"/>
      <w:bookmarkStart w:id="96" w:name="_Hlk434547081"/>
      <w:bookmarkEnd w:id="95"/>
      <w:bookmarkEnd w:id="96"/>
      <w:r>
        <w:rPr>
          <w:rFonts w:cs="Times New Roman" w:ascii="Times New Roman" w:hAnsi="Times New Roman"/>
          <w:sz w:val="26"/>
          <w:szCs w:val="26"/>
        </w:rPr>
        <w:t>І</w:t>
      </w:r>
      <w:r>
        <w:rPr>
          <w:rFonts w:cs="Times New Roman" w:ascii="Times New Roman" w:hAnsi="Times New Roman"/>
          <w:sz w:val="26"/>
          <w:szCs w:val="26"/>
          <w:lang w:val="en-US"/>
        </w:rPr>
        <w:t>V</w:t>
      </w:r>
      <w:bookmarkStart w:id="97" w:name="_Toc436423064"/>
      <w:bookmarkStart w:id="98" w:name="_Toc445403197"/>
      <w:bookmarkEnd w:id="94"/>
      <w:bookmarkEnd w:id="97"/>
      <w:bookmarkEnd w:id="98"/>
      <w:r>
        <w:rPr>
          <w:rFonts w:cs="Times New Roman" w:ascii="Times New Roman" w:hAnsi="Times New Roman"/>
          <w:sz w:val="26"/>
          <w:szCs w:val="26"/>
        </w:rPr>
        <w:t>. СТРАТЕГІЧНІ, ОПЕРАТИВНІ ЦІЛІ ТА ЗАВДАННЯ РОЗВИТКУ КАХОВСЬКОЇ ТЕРИТОРІАЛЬНОЇ ГРОМАДИ</w:t>
      </w:r>
    </w:p>
    <w:p>
      <w:pPr>
        <w:pStyle w:val="Normal"/>
        <w:spacing w:lineRule="auto" w:line="240" w:before="120" w:after="0"/>
        <w:ind w:firstLine="709"/>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Базуючись на результатах та висновках аналітичного етапу, члени робочої групи обрали як базову динамічну (конкурентну) стратегію, яка передбачає максимальне використання конкурентних переваг громади шляхом мінімізації впливу на розвиток слабких сторін за допомогою можливостей, які виникають на сучасному етапі в Україні та у світі. При цьому сильні сторони громади мають ключове значення.</w:t>
      </w:r>
    </w:p>
    <w:p>
      <w:pPr>
        <w:pStyle w:val="Normal"/>
        <w:spacing w:lineRule="auto" w:line="240" w:before="0" w:after="0"/>
        <w:ind w:firstLine="708"/>
        <w:jc w:val="both"/>
        <w:rPr>
          <w:rFonts w:ascii="Times New Roman" w:hAnsi="Times New Roman" w:cs="Times New Roman"/>
          <w:sz w:val="24"/>
          <w:szCs w:val="24"/>
        </w:rPr>
      </w:pPr>
      <w:r>
        <w:rPr>
          <w:rFonts w:eastAsia="Times New Roman" w:cs="Times New Roman" w:ascii="Times New Roman" w:hAnsi="Times New Roman"/>
          <w:sz w:val="24"/>
          <w:szCs w:val="24"/>
        </w:rPr>
        <w:t>Обрані пріоритетні напрямки розвитку Каховської громади є фактично стратегічними цілями</w:t>
      </w:r>
      <w:r>
        <w:rPr>
          <w:rFonts w:cs="Times New Roman" w:ascii="Times New Roman" w:hAnsi="Times New Roman"/>
          <w:sz w:val="24"/>
          <w:szCs w:val="24"/>
        </w:rPr>
        <w:t>, які здатні консолідувати зусилля влади, бізнесу і громадського суспільства задля сталого розвитку громади. Стратегічні цілі випливають із стратегічного бачення і утворюють рамки, в яких прийматимуться рішення щодо оперативних цілей та заходів. Кожна стратегічна ціль – це бажаний результат «цілеспрямованої» діяльності у вирішенні ключової проблеми з оптимальним використанням ресурсів.</w:t>
      </w:r>
    </w:p>
    <w:p>
      <w:pPr>
        <w:pStyle w:val="Normal"/>
        <w:spacing w:lineRule="auto" w:line="240" w:before="120" w:after="0"/>
        <w:ind w:firstLine="708"/>
        <w:jc w:val="both"/>
        <w:rPr>
          <w:rFonts w:ascii="Times New Roman" w:hAnsi="Times New Roman" w:cs="Times New Roman"/>
          <w:sz w:val="24"/>
          <w:szCs w:val="24"/>
        </w:rPr>
      </w:pPr>
      <w:r>
        <w:rPr>
          <w:rFonts w:cs="Times New Roman" w:ascii="Times New Roman" w:hAnsi="Times New Roman"/>
          <w:b/>
          <w:i/>
          <w:sz w:val="24"/>
          <w:szCs w:val="24"/>
        </w:rPr>
        <w:t>1. Економічний розвиток Каховської громади</w:t>
      </w:r>
      <w:r>
        <w:rPr>
          <w:rFonts w:cs="Times New Roman" w:ascii="Times New Roman" w:hAnsi="Times New Roman"/>
          <w:sz w:val="24"/>
          <w:szCs w:val="24"/>
        </w:rPr>
        <w:t xml:space="preserve">, як відповідь на наявний у громаді і значною мірою невикористаний інвестиційний потенціал. Громада має вигідне географічне розташування, історію потужного промислового центра, володіє суттєвими ресурсами, перш за все, земельними, та має можливість, з урахуванням процесів трансформації національної економіки України, створити умови для залучення інвестицій до пріоритетних секторів підприємництва. </w:t>
      </w:r>
    </w:p>
    <w:p>
      <w:pPr>
        <w:pStyle w:val="Normal"/>
        <w:spacing w:lineRule="auto" w:line="240" w:before="120" w:after="0"/>
        <w:ind w:firstLine="708"/>
        <w:jc w:val="both"/>
        <w:rPr>
          <w:rFonts w:ascii="Times New Roman" w:hAnsi="Times New Roman" w:cs="Times New Roman"/>
          <w:sz w:val="24"/>
          <w:szCs w:val="24"/>
        </w:rPr>
      </w:pPr>
      <w:r>
        <w:rPr>
          <w:rFonts w:cs="Times New Roman" w:ascii="Times New Roman" w:hAnsi="Times New Roman"/>
          <w:b/>
          <w:i/>
          <w:sz w:val="24"/>
          <w:szCs w:val="24"/>
        </w:rPr>
        <w:t>2. Розвиток людського капіталу та соціальної інфраструктури</w:t>
      </w:r>
      <w:r>
        <w:rPr>
          <w:rFonts w:cs="Times New Roman" w:ascii="Times New Roman" w:hAnsi="Times New Roman"/>
          <w:sz w:val="24"/>
          <w:szCs w:val="24"/>
        </w:rPr>
        <w:t>, оскільки громада має допомагати своїм мешканцям бути конкурентоспроможними на ринку праці, забезпечити високий рівень освіти, охорони здоров’я, культурних послуг, можливостей заняття спортом тощо. Активна молодь Каховської громади отримає нові можливості для своїх потреб, зокрема, Молодіжний центр.</w:t>
      </w:r>
    </w:p>
    <w:p>
      <w:pPr>
        <w:pStyle w:val="Normal"/>
        <w:spacing w:lineRule="auto" w:line="240" w:before="120" w:after="0"/>
        <w:ind w:firstLine="708"/>
        <w:jc w:val="both"/>
        <w:rPr>
          <w:rFonts w:ascii="Times New Roman" w:hAnsi="Times New Roman" w:cs="Times New Roman"/>
          <w:sz w:val="24"/>
          <w:szCs w:val="24"/>
        </w:rPr>
      </w:pPr>
      <w:r>
        <w:rPr>
          <w:rFonts w:cs="Times New Roman" w:ascii="Times New Roman" w:hAnsi="Times New Roman"/>
          <w:b/>
          <w:i/>
          <w:sz w:val="24"/>
          <w:szCs w:val="24"/>
        </w:rPr>
        <w:t xml:space="preserve">3. Висока якість життя та послуг для мешканців громади, </w:t>
      </w:r>
      <w:r>
        <w:rPr>
          <w:rFonts w:cs="Times New Roman" w:ascii="Times New Roman" w:hAnsi="Times New Roman"/>
          <w:sz w:val="24"/>
          <w:szCs w:val="24"/>
        </w:rPr>
        <w:t>як демонстрація того, що Каховська громада налаштована створити для своїх мешканців якісне і комфортне життя. Громада свідома того, що відставання у якості життя призводить до негативних соціальних та демографічних наслідків і тому необхідно суттєво змінити ситуацію.</w:t>
      </w:r>
    </w:p>
    <w:p>
      <w:pPr>
        <w:pStyle w:val="Normal"/>
        <w:spacing w:lineRule="auto" w:line="240" w:before="120" w:after="0"/>
        <w:ind w:firstLine="708"/>
        <w:jc w:val="both"/>
        <w:rPr>
          <w:rFonts w:ascii="Times New Roman" w:hAnsi="Times New Roman" w:cs="Times New Roman"/>
          <w:sz w:val="24"/>
          <w:szCs w:val="24"/>
        </w:rPr>
      </w:pPr>
      <w:r>
        <w:rPr>
          <w:rFonts w:cs="Times New Roman" w:ascii="Times New Roman" w:hAnsi="Times New Roman"/>
          <w:sz w:val="24"/>
          <w:szCs w:val="24"/>
        </w:rPr>
        <w:t>Перспективні результати трьох стратегічних цілей, у поєднанні, покликані вирішити ключові проблеми Каховської громади. Зокрема, розвиток місцевої економіки (Стратегічна ціль 1) усуватиме брак робочих місць та сприятиме наповненню місцевого бюджету. Конкурентний людський капітал громади (Стратегічна ціль 2) створить ефективний діалог «влада-громада», сприятиме зменшенню злочинності та зростанню якості робочої сили. Належний рівень якості життя та послуг також сприятиме зменшенню злочинності, але більшою мірою – вирішенню проблем з нестачею об’єктів відпочинку, змістовного дозвілля та незадовільним станом дорожньої інфраструктури.</w:t>
      </w:r>
    </w:p>
    <w:p>
      <w:pPr>
        <w:pStyle w:val="Normal"/>
        <w:spacing w:lineRule="auto" w:line="240" w:before="120" w:after="0"/>
        <w:ind w:firstLine="708"/>
        <w:jc w:val="both"/>
        <w:rPr>
          <w:rFonts w:ascii="Times New Roman" w:hAnsi="Times New Roman" w:eastAsia="Times New Roman" w:cs="Times New Roman"/>
          <w:sz w:val="24"/>
          <w:szCs w:val="24"/>
        </w:rPr>
      </w:pPr>
      <w:r>
        <w:rPr>
          <w:rFonts w:cs="Times New Roman" w:ascii="Times New Roman" w:hAnsi="Times New Roman"/>
          <w:sz w:val="24"/>
          <w:szCs w:val="24"/>
        </w:rPr>
        <w:t>Для досягнення результатів стратегічних цілей були напрацьовані відповідні оперативні цілі, які визначають межі концентрації прогнозної фінансової та організаційної діяльності Каховської громади на найближчі роки. На їх базі формується основа для управління громадою.</w:t>
      </w:r>
    </w:p>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top w:val="single" w:sz="4" w:space="1" w:color="00000A"/>
          <w:left w:val="single" w:sz="4" w:space="4" w:color="00000A"/>
          <w:bottom w:val="single" w:sz="4" w:space="13" w:color="00000A"/>
          <w:right w:val="single" w:sz="4" w:space="4" w:color="00000A"/>
        </w:pBdr>
        <w:shd w:val="clear" w:color="auto" w:fill="B5FC18"/>
        <w:spacing w:lineRule="auto" w:line="259" w:before="0" w:after="160"/>
        <w:ind w:left="284" w:hanging="284"/>
        <w:rPr>
          <w:rFonts w:ascii="Times New Roman" w:hAnsi="Times New Roman" w:cs="Times New Roman"/>
          <w:b/>
          <w:b/>
          <w:sz w:val="24"/>
          <w:szCs w:val="24"/>
        </w:rPr>
      </w:pPr>
      <w:bookmarkStart w:id="99" w:name="_Hlk26974248"/>
      <w:bookmarkEnd w:id="99"/>
      <w:r>
        <w:rPr>
          <w:rFonts w:cs="Times New Roman" w:ascii="Times New Roman" w:hAnsi="Times New Roman"/>
          <w:b/>
          <w:sz w:val="24"/>
          <w:szCs w:val="24"/>
        </w:rPr>
        <w:t>1. Економічний розвиток Каховської громади</w:t>
      </w:r>
    </w:p>
    <w:p>
      <w:pPr>
        <w:pStyle w:val="Normal"/>
        <w:shd w:val="clear" w:color="auto" w:fill="CAFD59"/>
        <w:spacing w:lineRule="auto" w:line="240" w:before="0" w:after="120"/>
        <w:ind w:left="567" w:hanging="0"/>
        <w:jc w:val="both"/>
        <w:rPr>
          <w:rFonts w:ascii="Times New Roman" w:hAnsi="Times New Roman" w:cs="Times New Roman"/>
          <w:color w:val="191919"/>
          <w:sz w:val="24"/>
          <w:szCs w:val="24"/>
        </w:rPr>
      </w:pPr>
      <w:r>
        <w:rPr>
          <w:rFonts w:cs="Times New Roman" w:ascii="Times New Roman" w:hAnsi="Times New Roman"/>
          <w:color w:val="191919"/>
          <w:sz w:val="24"/>
          <w:szCs w:val="24"/>
        </w:rPr>
        <w:t>1.1. Створення сприятливого середовища для розвитку місцевого бізнесу</w:t>
      </w:r>
    </w:p>
    <w:p>
      <w:pPr>
        <w:pStyle w:val="Normal"/>
        <w:shd w:val="clear" w:color="auto" w:fill="CAFD59"/>
        <w:spacing w:lineRule="auto" w:line="240" w:before="0" w:after="120"/>
        <w:ind w:left="567" w:hanging="0"/>
        <w:jc w:val="both"/>
        <w:rPr>
          <w:rFonts w:ascii="Times New Roman" w:hAnsi="Times New Roman" w:cs="Times New Roman"/>
          <w:color w:val="191919"/>
          <w:sz w:val="24"/>
          <w:szCs w:val="24"/>
        </w:rPr>
      </w:pPr>
      <w:r>
        <w:rPr>
          <w:rFonts w:cs="Times New Roman" w:ascii="Times New Roman" w:hAnsi="Times New Roman"/>
          <w:color w:val="191919"/>
          <w:sz w:val="24"/>
          <w:szCs w:val="24"/>
        </w:rPr>
        <w:t>1.2. Розвиток інвестиційного клімату громади</w:t>
      </w:r>
    </w:p>
    <w:p>
      <w:pPr>
        <w:pStyle w:val="Normal"/>
        <w:shd w:val="clear" w:color="auto" w:fill="CAFD59"/>
        <w:spacing w:lineRule="auto" w:line="240" w:before="0" w:after="120"/>
        <w:ind w:left="567" w:hanging="0"/>
        <w:jc w:val="both"/>
        <w:rPr>
          <w:rFonts w:ascii="Times New Roman" w:hAnsi="Times New Roman" w:cs="Times New Roman"/>
          <w:color w:val="191919"/>
          <w:sz w:val="24"/>
          <w:szCs w:val="24"/>
        </w:rPr>
      </w:pPr>
      <w:r>
        <w:rPr>
          <w:rFonts w:cs="Times New Roman" w:ascii="Times New Roman" w:hAnsi="Times New Roman"/>
          <w:color w:val="191919"/>
          <w:sz w:val="24"/>
          <w:szCs w:val="24"/>
        </w:rPr>
        <w:t>1.3. Економіка вражень, економіка сенсів: нова економічна пропозиція для створення сильних територіальних брендів на основі використання історико-культурної спадщини</w:t>
      </w:r>
    </w:p>
    <w:p>
      <w:pPr>
        <w:pStyle w:val="Normal"/>
        <w:pBdr>
          <w:top w:val="single" w:sz="4" w:space="1" w:color="00000A"/>
          <w:left w:val="single" w:sz="4" w:space="4" w:color="00000A"/>
          <w:bottom w:val="single" w:sz="4" w:space="12" w:color="00000A"/>
          <w:right w:val="single" w:sz="4" w:space="4" w:color="00000A"/>
        </w:pBdr>
        <w:shd w:val="clear" w:color="auto" w:fill="FFBD5D"/>
        <w:spacing w:lineRule="auto" w:line="259" w:before="0" w:after="160"/>
        <w:rPr>
          <w:rFonts w:ascii="Times New Roman" w:hAnsi="Times New Roman" w:cs="Times New Roman"/>
          <w:b/>
          <w:b/>
          <w:color w:val="191919"/>
          <w:sz w:val="24"/>
          <w:szCs w:val="24"/>
        </w:rPr>
      </w:pPr>
      <w:r>
        <w:rPr>
          <w:rFonts w:cs="Times New Roman" w:ascii="Times New Roman" w:hAnsi="Times New Roman"/>
          <w:b/>
          <w:color w:val="191919"/>
          <w:sz w:val="24"/>
          <w:szCs w:val="24"/>
        </w:rPr>
        <w:t>2. Розвиток людського капіталу та соціальної інфраструктури</w:t>
      </w:r>
    </w:p>
    <w:p>
      <w:pPr>
        <w:pStyle w:val="Normal"/>
        <w:shd w:val="clear" w:color="auto" w:fill="FFD653"/>
        <w:spacing w:lineRule="auto" w:line="240" w:before="0" w:after="120"/>
        <w:ind w:left="567" w:hanging="0"/>
        <w:jc w:val="both"/>
        <w:rPr>
          <w:rFonts w:ascii="Times New Roman" w:hAnsi="Times New Roman" w:cs="Times New Roman"/>
          <w:color w:val="191919"/>
          <w:sz w:val="24"/>
          <w:szCs w:val="24"/>
        </w:rPr>
      </w:pPr>
      <w:r>
        <w:rPr>
          <w:rFonts w:cs="Times New Roman" w:ascii="Times New Roman" w:hAnsi="Times New Roman"/>
          <w:color w:val="191919"/>
          <w:sz w:val="24"/>
          <w:szCs w:val="24"/>
        </w:rPr>
        <w:t>2.1. Розвиток освітньої галузі громади.</w:t>
      </w:r>
    </w:p>
    <w:p>
      <w:pPr>
        <w:pStyle w:val="Normal"/>
        <w:shd w:val="clear" w:color="auto" w:fill="FFD653"/>
        <w:spacing w:lineRule="auto" w:line="240" w:before="0" w:after="120"/>
        <w:ind w:left="567" w:hanging="0"/>
        <w:jc w:val="both"/>
        <w:rPr>
          <w:rFonts w:ascii="Times New Roman" w:hAnsi="Times New Roman" w:cs="Times New Roman"/>
          <w:color w:val="191919"/>
          <w:sz w:val="24"/>
          <w:szCs w:val="24"/>
        </w:rPr>
      </w:pPr>
      <w:r>
        <w:rPr>
          <w:rFonts w:cs="Times New Roman" w:ascii="Times New Roman" w:hAnsi="Times New Roman"/>
          <w:color w:val="191919"/>
          <w:sz w:val="24"/>
          <w:szCs w:val="24"/>
        </w:rPr>
        <w:t>2.2. Сучасна охорона здоров’я та медичні послуги.</w:t>
      </w:r>
    </w:p>
    <w:p>
      <w:pPr>
        <w:pStyle w:val="Normal"/>
        <w:shd w:val="clear" w:color="auto" w:fill="FFD653"/>
        <w:spacing w:lineRule="auto" w:line="240" w:before="0" w:after="120"/>
        <w:ind w:left="567" w:hanging="0"/>
        <w:jc w:val="both"/>
        <w:rPr>
          <w:rFonts w:ascii="Times New Roman" w:hAnsi="Times New Roman" w:cs="Times New Roman"/>
          <w:color w:val="191919"/>
          <w:sz w:val="24"/>
          <w:szCs w:val="24"/>
        </w:rPr>
      </w:pPr>
      <w:r>
        <w:rPr>
          <w:rFonts w:cs="Times New Roman" w:ascii="Times New Roman" w:hAnsi="Times New Roman"/>
          <w:color w:val="191919"/>
          <w:sz w:val="24"/>
          <w:szCs w:val="24"/>
        </w:rPr>
        <w:t>2.3. Розвиток культури</w:t>
      </w:r>
    </w:p>
    <w:p>
      <w:pPr>
        <w:pStyle w:val="Normal"/>
        <w:shd w:val="clear" w:color="auto" w:fill="FFD653"/>
        <w:spacing w:lineRule="auto" w:line="240" w:before="0" w:after="120"/>
        <w:ind w:left="567" w:hanging="0"/>
        <w:jc w:val="both"/>
        <w:rPr>
          <w:rFonts w:ascii="Times New Roman" w:hAnsi="Times New Roman" w:cs="Times New Roman"/>
          <w:color w:val="191919"/>
          <w:sz w:val="24"/>
          <w:szCs w:val="24"/>
        </w:rPr>
      </w:pPr>
      <w:r>
        <w:rPr>
          <w:rFonts w:cs="Times New Roman" w:ascii="Times New Roman" w:hAnsi="Times New Roman"/>
          <w:color w:val="191919"/>
          <w:sz w:val="24"/>
          <w:szCs w:val="24"/>
        </w:rPr>
        <w:t>2.4.Створення умов для розвитку фізичної культури та спорту</w:t>
      </w:r>
    </w:p>
    <w:p>
      <w:pPr>
        <w:pStyle w:val="Normal"/>
        <w:shd w:val="clear" w:color="auto" w:fill="FFD653"/>
        <w:spacing w:lineRule="auto" w:line="240" w:before="0" w:after="120"/>
        <w:ind w:left="567" w:hanging="0"/>
        <w:jc w:val="both"/>
        <w:rPr>
          <w:rFonts w:ascii="Times New Roman" w:hAnsi="Times New Roman" w:cs="Times New Roman"/>
          <w:color w:val="191919"/>
          <w:sz w:val="24"/>
          <w:szCs w:val="24"/>
        </w:rPr>
      </w:pPr>
      <w:r>
        <w:rPr>
          <w:rFonts w:cs="Times New Roman" w:ascii="Times New Roman" w:hAnsi="Times New Roman"/>
          <w:color w:val="191919"/>
          <w:sz w:val="24"/>
          <w:szCs w:val="24"/>
        </w:rPr>
        <w:t xml:space="preserve">2.5. Активна участь мешканців у житті громади та соціальні послуги </w:t>
      </w:r>
    </w:p>
    <w:p>
      <w:pPr>
        <w:pStyle w:val="Normal"/>
        <w:pBdr>
          <w:top w:val="single" w:sz="4" w:space="1" w:color="00000A"/>
          <w:left w:val="single" w:sz="4" w:space="4" w:color="00000A"/>
          <w:bottom w:val="single" w:sz="4" w:space="12" w:color="00000A"/>
          <w:right w:val="single" w:sz="4" w:space="4" w:color="00000A"/>
        </w:pBdr>
        <w:shd w:val="clear" w:color="auto" w:fill="61BBFF"/>
        <w:spacing w:lineRule="auto" w:line="259" w:before="0" w:after="160"/>
        <w:rPr>
          <w:rFonts w:ascii="Times New Roman" w:hAnsi="Times New Roman" w:cs="Times New Roman"/>
          <w:b/>
          <w:b/>
          <w:color w:val="191919"/>
          <w:sz w:val="24"/>
          <w:szCs w:val="24"/>
        </w:rPr>
      </w:pPr>
      <w:r>
        <w:rPr>
          <w:rFonts w:cs="Times New Roman" w:ascii="Times New Roman" w:hAnsi="Times New Roman"/>
          <w:b/>
          <w:color w:val="191919"/>
          <w:sz w:val="24"/>
          <w:szCs w:val="24"/>
        </w:rPr>
        <w:t>3.</w:t>
      </w:r>
      <w:r>
        <w:rPr>
          <w:rFonts w:cs="Times New Roman" w:ascii="Times New Roman" w:hAnsi="Times New Roman"/>
        </w:rPr>
        <w:t xml:space="preserve"> </w:t>
      </w:r>
      <w:r>
        <w:rPr>
          <w:rFonts w:cs="Times New Roman" w:ascii="Times New Roman" w:hAnsi="Times New Roman"/>
          <w:b/>
          <w:color w:val="191919"/>
          <w:sz w:val="24"/>
          <w:szCs w:val="24"/>
        </w:rPr>
        <w:t>Висока якість життя та послуг для мешканців громади</w:t>
      </w:r>
    </w:p>
    <w:p>
      <w:pPr>
        <w:pStyle w:val="Normal"/>
        <w:shd w:val="clear" w:color="auto" w:fill="5BD4FF"/>
        <w:spacing w:lineRule="auto" w:line="240" w:before="0" w:after="120"/>
        <w:ind w:left="567" w:hanging="0"/>
        <w:jc w:val="both"/>
        <w:rPr>
          <w:rFonts w:ascii="Times New Roman" w:hAnsi="Times New Roman" w:cs="Times New Roman"/>
          <w:color w:val="191919"/>
          <w:sz w:val="24"/>
          <w:szCs w:val="24"/>
        </w:rPr>
      </w:pPr>
      <w:r>
        <w:rPr>
          <w:rFonts w:cs="Times New Roman" w:ascii="Times New Roman" w:hAnsi="Times New Roman"/>
          <w:color w:val="191919"/>
          <w:sz w:val="24"/>
          <w:szCs w:val="24"/>
        </w:rPr>
        <w:t>3.1. Безпека громади і комфорт мешканців.</w:t>
      </w:r>
    </w:p>
    <w:p>
      <w:pPr>
        <w:pStyle w:val="Normal"/>
        <w:shd w:val="clear" w:color="auto" w:fill="5BD4FF"/>
        <w:spacing w:lineRule="auto" w:line="240" w:before="0" w:after="120"/>
        <w:ind w:left="567" w:hanging="0"/>
        <w:jc w:val="both"/>
        <w:rPr>
          <w:rFonts w:ascii="Times New Roman" w:hAnsi="Times New Roman" w:cs="Times New Roman"/>
          <w:color w:val="191919"/>
          <w:sz w:val="24"/>
          <w:szCs w:val="24"/>
        </w:rPr>
      </w:pPr>
      <w:r>
        <w:rPr>
          <w:rFonts w:cs="Times New Roman" w:ascii="Times New Roman" w:hAnsi="Times New Roman"/>
          <w:color w:val="191919"/>
          <w:sz w:val="24"/>
          <w:szCs w:val="24"/>
        </w:rPr>
        <w:t>3.2. Комунальне господарство та екологія.</w:t>
      </w:r>
    </w:p>
    <w:p>
      <w:pPr>
        <w:pStyle w:val="Normal"/>
        <w:spacing w:lineRule="auto" w:line="240" w:before="120" w:after="0"/>
        <w:ind w:firstLine="709"/>
        <w:jc w:val="both"/>
        <w:rPr>
          <w:rFonts w:ascii="Times New Roman" w:hAnsi="Times New Roman" w:cs="Times New Roman"/>
          <w:sz w:val="24"/>
          <w:szCs w:val="24"/>
        </w:rPr>
      </w:pPr>
      <w:r>
        <w:rPr>
          <w:rFonts w:cs="Times New Roman" w:ascii="Times New Roman" w:hAnsi="Times New Roman"/>
          <w:sz w:val="24"/>
          <w:szCs w:val="24"/>
        </w:rPr>
        <w:t>Оперативні цілі деталізовані в завданнях. Завдання дають відповіді на питання, яким шляхом, яким чином громада намагатиметься досягнути цілей свого розвитку.</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TableTitle"/>
        <w:numPr>
          <w:ilvl w:val="0"/>
          <w:numId w:val="2"/>
        </w:numPr>
        <w:ind w:left="714" w:hanging="357"/>
        <w:rPr/>
      </w:pPr>
      <w:bookmarkStart w:id="100" w:name="_Toc84967205"/>
      <w:bookmarkStart w:id="101" w:name="_Hlk434553731"/>
      <w:bookmarkEnd w:id="100"/>
      <w:bookmarkEnd w:id="101"/>
      <w:r>
        <w:rPr/>
        <w:t>Стратегічні, оперативні цілі та завдання</w:t>
      </w:r>
    </w:p>
    <w:tbl>
      <w:tblPr>
        <w:tblW w:w="10060"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8" w:type="dxa"/>
          <w:bottom w:w="0" w:type="dxa"/>
          <w:right w:w="108" w:type="dxa"/>
        </w:tblCellMar>
        <w:tblLook w:val="01e0" w:noVBand="0" w:noHBand="0" w:lastColumn="1" w:firstColumn="1" w:lastRow="1" w:firstRow="1"/>
      </w:tblPr>
      <w:tblGrid>
        <w:gridCol w:w="1974"/>
        <w:gridCol w:w="2977"/>
        <w:gridCol w:w="5109"/>
      </w:tblGrid>
      <w:tr>
        <w:trPr>
          <w:trHeight w:val="639" w:hRule="atLeast"/>
        </w:trPr>
        <w:tc>
          <w:tcPr>
            <w:tcW w:w="19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b/>
                <w:sz w:val="24"/>
                <w:szCs w:val="24"/>
              </w:rPr>
              <w:t>Стратегічні цілі</w:t>
            </w:r>
          </w:p>
        </w:tc>
        <w:tc>
          <w:tcPr>
            <w:tcW w:w="29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b/>
                <w:sz w:val="24"/>
                <w:szCs w:val="24"/>
              </w:rPr>
              <w:t>Оперативні цілі</w:t>
            </w:r>
          </w:p>
        </w:tc>
        <w:tc>
          <w:tcPr>
            <w:tcW w:w="51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b/>
                <w:sz w:val="24"/>
                <w:szCs w:val="24"/>
              </w:rPr>
              <w:t>Завдання Стратегії</w:t>
            </w:r>
          </w:p>
        </w:tc>
      </w:tr>
      <w:tr>
        <w:trPr>
          <w:trHeight w:val="20" w:hRule="atLeast"/>
        </w:trPr>
        <w:tc>
          <w:tcPr>
            <w:tcW w:w="197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t>1. Економічний розвиток Каховської громади</w:t>
            </w:r>
          </w:p>
        </w:tc>
        <w:tc>
          <w:tcPr>
            <w:tcW w:w="2977"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t xml:space="preserve">1.1. Створення сприятливого середовища для розвитку місцевого бізнесу </w:t>
            </w:r>
          </w:p>
        </w:tc>
        <w:tc>
          <w:tcPr>
            <w:tcW w:w="51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t>1.1.1. Забезпечення діалогу між владою, бізнесом та громадою.</w:t>
            </w:r>
          </w:p>
        </w:tc>
      </w:tr>
      <w:tr>
        <w:trPr>
          <w:trHeight w:val="20" w:hRule="atLeast"/>
        </w:trPr>
        <w:tc>
          <w:tcPr>
            <w:tcW w:w="197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297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1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t>1.1.2. Підвищення якості Е- врядування</w:t>
            </w:r>
          </w:p>
        </w:tc>
      </w:tr>
      <w:tr>
        <w:trPr>
          <w:trHeight w:val="20" w:hRule="atLeast"/>
        </w:trPr>
        <w:tc>
          <w:tcPr>
            <w:tcW w:w="197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297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1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t>1.1.3. Адміністративні послуги</w:t>
            </w:r>
          </w:p>
        </w:tc>
      </w:tr>
      <w:tr>
        <w:trPr>
          <w:trHeight w:val="20" w:hRule="atLeast"/>
        </w:trPr>
        <w:tc>
          <w:tcPr>
            <w:tcW w:w="197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2977"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t>1.2. Розвиток інвестиційного клімату громади</w:t>
            </w:r>
          </w:p>
        </w:tc>
        <w:tc>
          <w:tcPr>
            <w:tcW w:w="51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t>1.2.1. Актуалізація документів просторового планування</w:t>
            </w:r>
          </w:p>
        </w:tc>
      </w:tr>
      <w:tr>
        <w:trPr>
          <w:trHeight w:val="20" w:hRule="atLeast"/>
        </w:trPr>
        <w:tc>
          <w:tcPr>
            <w:tcW w:w="197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297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1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t>1.2.2. Просування інвестиційних можливостей громади (інвест паспорт, земля, проекти)</w:t>
            </w:r>
          </w:p>
        </w:tc>
      </w:tr>
      <w:tr>
        <w:trPr>
          <w:trHeight w:val="20" w:hRule="atLeast"/>
        </w:trPr>
        <w:tc>
          <w:tcPr>
            <w:tcW w:w="197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297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1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t>1.2.3. Розвиток аграрно-промислового комплексу</w:t>
            </w:r>
          </w:p>
        </w:tc>
      </w:tr>
      <w:tr>
        <w:trPr>
          <w:trHeight w:val="20" w:hRule="atLeast"/>
        </w:trPr>
        <w:tc>
          <w:tcPr>
            <w:tcW w:w="197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2977"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t>1.3. Економіка вражень, економіка сенсів: нова економічна пропозиція для створення сильних територіальних брендів на основі використання історико-культурної спадщини</w:t>
            </w:r>
          </w:p>
        </w:tc>
        <w:tc>
          <w:tcPr>
            <w:tcW w:w="51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t>1.3.1. Створення умов для розвитку туристичного бізнесу</w:t>
            </w:r>
          </w:p>
        </w:tc>
      </w:tr>
      <w:tr>
        <w:trPr>
          <w:trHeight w:val="1496" w:hRule="atLeast"/>
        </w:trPr>
        <w:tc>
          <w:tcPr>
            <w:tcW w:w="197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297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1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t>1.3.3. Маркетинг та брендинг території громади</w:t>
            </w:r>
          </w:p>
        </w:tc>
      </w:tr>
      <w:tr>
        <w:trPr>
          <w:trHeight w:val="20" w:hRule="atLeast"/>
        </w:trPr>
        <w:tc>
          <w:tcPr>
            <w:tcW w:w="197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t xml:space="preserve">2. Розвиток людського капіталу та соціальної інфраструктури </w:t>
            </w:r>
          </w:p>
        </w:tc>
        <w:tc>
          <w:tcPr>
            <w:tcW w:w="2977"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t>2.1. Розвиток освітньої галузі громади</w:t>
            </w:r>
          </w:p>
        </w:tc>
        <w:tc>
          <w:tcPr>
            <w:tcW w:w="51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t>2.1.1. Надання якісних сучасних освітніх послуг</w:t>
            </w:r>
          </w:p>
        </w:tc>
      </w:tr>
      <w:tr>
        <w:trPr>
          <w:trHeight w:val="20" w:hRule="atLeast"/>
        </w:trPr>
        <w:tc>
          <w:tcPr>
            <w:tcW w:w="197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297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1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t>2.1.2. Модернізація матеріально-технічної бази закладів освіти</w:t>
            </w:r>
          </w:p>
        </w:tc>
      </w:tr>
      <w:tr>
        <w:trPr>
          <w:trHeight w:val="586" w:hRule="atLeast"/>
        </w:trPr>
        <w:tc>
          <w:tcPr>
            <w:tcW w:w="197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29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t>2.2.Сучасна охорона здоров’я та медичні послуги</w:t>
            </w:r>
          </w:p>
        </w:tc>
        <w:tc>
          <w:tcPr>
            <w:tcW w:w="51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t>2.2.1. Підвищення якості послуг закладів охорони здоров’я</w:t>
            </w:r>
          </w:p>
        </w:tc>
      </w:tr>
      <w:tr>
        <w:trPr>
          <w:trHeight w:val="20" w:hRule="atLeast"/>
        </w:trPr>
        <w:tc>
          <w:tcPr>
            <w:tcW w:w="197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2977"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t>2.3. Розвиток культури</w:t>
            </w:r>
          </w:p>
        </w:tc>
        <w:tc>
          <w:tcPr>
            <w:tcW w:w="51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t>2.3.1. Модернізація закладів культури</w:t>
            </w:r>
          </w:p>
        </w:tc>
      </w:tr>
      <w:tr>
        <w:trPr>
          <w:trHeight w:val="20" w:hRule="atLeast"/>
        </w:trPr>
        <w:tc>
          <w:tcPr>
            <w:tcW w:w="197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297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1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t xml:space="preserve">2.3.2. Сучасні культурні послуги </w:t>
            </w:r>
          </w:p>
        </w:tc>
      </w:tr>
      <w:tr>
        <w:trPr>
          <w:trHeight w:val="20" w:hRule="atLeast"/>
        </w:trPr>
        <w:tc>
          <w:tcPr>
            <w:tcW w:w="197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2977"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t>2.4.Створення умов для розвитку фізичної культури та спорту</w:t>
            </w:r>
          </w:p>
        </w:tc>
        <w:tc>
          <w:tcPr>
            <w:tcW w:w="51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t>2.4.1. Розбудова сучасної та доступної фізкультурно-спортивної інфраструктури</w:t>
            </w:r>
          </w:p>
        </w:tc>
      </w:tr>
      <w:tr>
        <w:trPr>
          <w:trHeight w:val="20" w:hRule="atLeast"/>
        </w:trPr>
        <w:tc>
          <w:tcPr>
            <w:tcW w:w="197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297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1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t>2.4.2. Підтримка всіх напрямків спорту та масової фізичної культури</w:t>
            </w:r>
          </w:p>
        </w:tc>
      </w:tr>
      <w:tr>
        <w:trPr>
          <w:trHeight w:val="20" w:hRule="atLeast"/>
        </w:trPr>
        <w:tc>
          <w:tcPr>
            <w:tcW w:w="197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2977"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t xml:space="preserve">2.5. </w:t>
            </w:r>
            <w:bookmarkStart w:id="102" w:name="_Hlk84963761"/>
            <w:bookmarkEnd w:id="102"/>
            <w:r>
              <w:rPr>
                <w:rFonts w:cs="Times New Roman" w:ascii="Times New Roman" w:hAnsi="Times New Roman"/>
              </w:rPr>
              <w:t>Активна участь мешканців у житті громади та соціальні послуги</w:t>
            </w:r>
          </w:p>
        </w:tc>
        <w:tc>
          <w:tcPr>
            <w:tcW w:w="51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t>2.5.1. Створення молодіжної інфраструктури</w:t>
            </w:r>
          </w:p>
        </w:tc>
      </w:tr>
      <w:tr>
        <w:trPr>
          <w:trHeight w:val="20" w:hRule="atLeast"/>
        </w:trPr>
        <w:tc>
          <w:tcPr>
            <w:tcW w:w="197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297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1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t>2.5.2. Залучення молоді до впровадження грантових, регіональних та місцевих програм</w:t>
            </w:r>
          </w:p>
        </w:tc>
      </w:tr>
      <w:tr>
        <w:trPr>
          <w:trHeight w:val="20" w:hRule="atLeast"/>
        </w:trPr>
        <w:tc>
          <w:tcPr>
            <w:tcW w:w="197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297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1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t>2.5.3. Сучасні інструменти громадської участі</w:t>
            </w:r>
          </w:p>
        </w:tc>
      </w:tr>
      <w:tr>
        <w:trPr>
          <w:trHeight w:val="20" w:hRule="atLeast"/>
        </w:trPr>
        <w:tc>
          <w:tcPr>
            <w:tcW w:w="197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297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1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t>2.5.4. Підвищення якості соціальних послуг</w:t>
            </w:r>
          </w:p>
        </w:tc>
      </w:tr>
      <w:tr>
        <w:trPr>
          <w:trHeight w:val="20" w:hRule="atLeast"/>
        </w:trPr>
        <w:tc>
          <w:tcPr>
            <w:tcW w:w="197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t>3. Висока якість життя та послуг для мешканців громади</w:t>
            </w:r>
          </w:p>
        </w:tc>
        <w:tc>
          <w:tcPr>
            <w:tcW w:w="2977"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t xml:space="preserve">3.1. Безпека громади і комфорт мешканців </w:t>
            </w:r>
          </w:p>
        </w:tc>
        <w:tc>
          <w:tcPr>
            <w:tcW w:w="51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t>3.1.1. Доступність та інклюзивність</w:t>
            </w:r>
          </w:p>
        </w:tc>
      </w:tr>
      <w:tr>
        <w:trPr>
          <w:trHeight w:val="20" w:hRule="atLeast"/>
        </w:trPr>
        <w:tc>
          <w:tcPr>
            <w:tcW w:w="197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297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1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pPr>
            <w:r>
              <w:rPr>
                <w:rFonts w:cs="Times New Roman" w:ascii="Times New Roman" w:hAnsi="Times New Roman"/>
              </w:rPr>
              <w:t xml:space="preserve">3.1.2. </w:t>
            </w:r>
            <w:r>
              <w:rPr>
                <w:rFonts w:cs="Times New Roman" w:ascii="Times New Roman" w:hAnsi="Times New Roman"/>
              </w:rPr>
              <w:t>Підвищення безпеки мешканців громади</w:t>
            </w:r>
          </w:p>
        </w:tc>
      </w:tr>
      <w:tr>
        <w:trPr>
          <w:trHeight w:val="20" w:hRule="atLeast"/>
        </w:trPr>
        <w:tc>
          <w:tcPr>
            <w:tcW w:w="197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297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1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t>3.1.3. Благоустрій населених пунктів, розвиток інфраструктури відпочинку і дозвілля</w:t>
            </w:r>
          </w:p>
        </w:tc>
      </w:tr>
      <w:tr>
        <w:trPr>
          <w:trHeight w:val="20" w:hRule="atLeast"/>
        </w:trPr>
        <w:tc>
          <w:tcPr>
            <w:tcW w:w="197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2977"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t xml:space="preserve">3.2. Комунальне господарство та екологія </w:t>
            </w:r>
          </w:p>
        </w:tc>
        <w:tc>
          <w:tcPr>
            <w:tcW w:w="5109" w:type="dxa"/>
            <w:tcBorders>
              <w:top w:val="single" w:sz="4" w:space="0" w:color="00000A"/>
              <w:left w:val="single" w:sz="4" w:space="0" w:color="000001"/>
              <w:bottom w:val="single" w:sz="4" w:space="0" w:color="00000A"/>
              <w:right w:val="single" w:sz="4" w:space="0" w:color="000001"/>
              <w:insideH w:val="single" w:sz="4" w:space="0" w:color="00000A"/>
              <w:insideV w:val="single" w:sz="4" w:space="0" w:color="000001"/>
            </w:tcBorders>
            <w:shd w:color="auto" w:fill="FFFFFF"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t>3.2.1. Утримання комунальних будівель, водопостачання та водовідведення у населених пунктах громади</w:t>
            </w:r>
          </w:p>
        </w:tc>
      </w:tr>
      <w:tr>
        <w:trPr>
          <w:trHeight w:val="20" w:hRule="atLeast"/>
        </w:trPr>
        <w:tc>
          <w:tcPr>
            <w:tcW w:w="197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297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109" w:type="dxa"/>
            <w:tcBorders>
              <w:top w:val="single" w:sz="4" w:space="0" w:color="00000A"/>
              <w:left w:val="single" w:sz="4" w:space="0" w:color="000001"/>
              <w:bottom w:val="single" w:sz="4" w:space="0" w:color="00000A"/>
              <w:right w:val="single" w:sz="4" w:space="0" w:color="000001"/>
              <w:insideH w:val="single" w:sz="4" w:space="0" w:color="00000A"/>
              <w:insideV w:val="single" w:sz="4" w:space="0" w:color="000001"/>
            </w:tcBorders>
            <w:shd w:color="auto" w:fill="FFFFFF"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t>3.2.2. Охорона навколишнього середовища та поводження з ТПВ</w:t>
            </w:r>
          </w:p>
        </w:tc>
      </w:tr>
      <w:tr>
        <w:trPr>
          <w:trHeight w:val="329" w:hRule="atLeast"/>
        </w:trPr>
        <w:tc>
          <w:tcPr>
            <w:tcW w:w="197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297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109" w:type="dxa"/>
            <w:tcBorders>
              <w:top w:val="single" w:sz="4" w:space="0" w:color="00000A"/>
              <w:left w:val="single" w:sz="4" w:space="0" w:color="000001"/>
              <w:bottom w:val="single" w:sz="4" w:space="0" w:color="00000A"/>
              <w:right w:val="single" w:sz="4" w:space="0" w:color="000001"/>
              <w:insideH w:val="single" w:sz="4" w:space="0" w:color="00000A"/>
              <w:insideV w:val="single" w:sz="4" w:space="0" w:color="000001"/>
            </w:tcBorders>
            <w:shd w:color="auto" w:fill="FFFFFF" w:val="clear"/>
            <w:tcMar>
              <w:left w:w="48" w:type="dxa"/>
            </w:tcMar>
          </w:tcPr>
          <w:p>
            <w:pPr>
              <w:pStyle w:val="Normal"/>
              <w:spacing w:lineRule="auto" w:line="240" w:before="0" w:after="0"/>
              <w:rPr>
                <w:rFonts w:ascii="Times New Roman" w:hAnsi="Times New Roman" w:cs="Times New Roman"/>
              </w:rPr>
            </w:pPr>
            <w:r>
              <w:rPr>
                <w:rFonts w:cs="Times New Roman" w:ascii="Times New Roman" w:hAnsi="Times New Roman"/>
              </w:rPr>
              <w:t xml:space="preserve">3.2.3. Розвиток дорожньої інфраструктури </w:t>
            </w:r>
          </w:p>
        </w:tc>
      </w:tr>
    </w:tbl>
    <w:p>
      <w:pPr>
        <w:pStyle w:val="Normal"/>
        <w:spacing w:lineRule="auto" w:line="240" w:before="0" w:after="0"/>
        <w:jc w:val="both"/>
        <w:rPr>
          <w:rFonts w:ascii="Times New Roman" w:hAnsi="Times New Roman" w:cs="Times New Roman"/>
        </w:rPr>
      </w:pPr>
      <w:r>
        <w:rPr>
          <w:rFonts w:cs="Times New Roman" w:ascii="Times New Roman" w:hAnsi="Times New Roman"/>
        </w:rPr>
      </w:r>
    </w:p>
    <w:p>
      <w:pPr>
        <w:pStyle w:val="1"/>
        <w:pageBreakBefore w:val="false"/>
        <w:shd w:val="clear" w:color="auto" w:fill="B5FC18"/>
        <w:tabs>
          <w:tab w:val="left" w:pos="284" w:leader="none"/>
          <w:tab w:val="left" w:pos="567" w:leader="none"/>
        </w:tabs>
        <w:spacing w:lineRule="auto" w:line="240" w:before="0" w:after="0"/>
        <w:ind w:left="2268" w:hanging="2268"/>
        <w:rPr>
          <w:rFonts w:ascii="Times New Roman" w:hAnsi="Times New Roman" w:cs="Times New Roman"/>
          <w:color w:val="000000" w:themeColor="text1"/>
          <w:sz w:val="26"/>
          <w:szCs w:val="26"/>
        </w:rPr>
      </w:pPr>
      <w:bookmarkStart w:id="103" w:name="_Toc84967182"/>
      <w:r>
        <w:rPr>
          <w:rFonts w:cs="Times New Roman" w:ascii="Times New Roman" w:hAnsi="Times New Roman"/>
          <w:color w:val="000000" w:themeColor="text1"/>
          <w:sz w:val="26"/>
          <w:szCs w:val="26"/>
        </w:rPr>
        <w:t>Стратегічна ціль 1.</w:t>
      </w:r>
      <w:r>
        <w:rPr>
          <w:rFonts w:cs="Times New Roman" w:ascii="Times New Roman" w:hAnsi="Times New Roman"/>
        </w:rPr>
        <w:t xml:space="preserve"> </w:t>
      </w:r>
      <w:bookmarkStart w:id="104" w:name="_Hlk84674513"/>
      <w:r>
        <w:rPr>
          <w:rFonts w:cs="Times New Roman" w:ascii="Times New Roman" w:hAnsi="Times New Roman"/>
          <w:color w:val="000000" w:themeColor="text1"/>
          <w:sz w:val="26"/>
          <w:szCs w:val="26"/>
        </w:rPr>
        <w:t>Економічний розвиток Каховської громади</w:t>
      </w:r>
      <w:bookmarkEnd w:id="103"/>
      <w:bookmarkEnd w:id="104"/>
      <w:r>
        <w:rPr>
          <w:rFonts w:cs="Times New Roman" w:ascii="Times New Roman" w:hAnsi="Times New Roman"/>
          <w:color w:val="000000" w:themeColor="text1"/>
          <w:sz w:val="26"/>
          <w:szCs w:val="26"/>
        </w:rPr>
        <w:br/>
      </w:r>
    </w:p>
    <w:p>
      <w:pPr>
        <w:pStyle w:val="Normal"/>
        <w:spacing w:lineRule="auto" w:line="240" w:before="120" w:after="0"/>
        <w:ind w:firstLine="709"/>
        <w:jc w:val="both"/>
        <w:rPr>
          <w:rFonts w:ascii="Times New Roman" w:hAnsi="Times New Roman" w:cs="Times New Roman"/>
          <w:sz w:val="24"/>
          <w:szCs w:val="24"/>
        </w:rPr>
      </w:pPr>
      <w:r>
        <w:rPr>
          <w:rFonts w:cs="Times New Roman" w:ascii="Times New Roman" w:hAnsi="Times New Roman"/>
          <w:sz w:val="24"/>
          <w:szCs w:val="24"/>
        </w:rPr>
        <w:t xml:space="preserve">Загальновідомо, що сталий розвиток громади базується на місцевому економічному розвитку. Каховська громада має низку «виграшних» сильних сторін та переваг у контексті відновлення промислового потенціалу та розвитку нових сучасних напрямків господарської діяльності. Зокрема, що стосується функціонування в одній громаді міських та сільських секторів підприємництва. </w:t>
      </w:r>
    </w:p>
    <w:p>
      <w:pPr>
        <w:pStyle w:val="Normal"/>
        <w:spacing w:lineRule="auto" w:line="240" w:before="120" w:after="0"/>
        <w:ind w:firstLine="709"/>
        <w:jc w:val="both"/>
        <w:rPr>
          <w:rFonts w:ascii="Times New Roman" w:hAnsi="Times New Roman" w:cs="Times New Roman"/>
          <w:sz w:val="24"/>
          <w:szCs w:val="24"/>
        </w:rPr>
      </w:pPr>
      <w:r>
        <w:rPr>
          <w:rFonts w:cs="Times New Roman" w:ascii="Times New Roman" w:hAnsi="Times New Roman"/>
          <w:sz w:val="24"/>
          <w:szCs w:val="24"/>
        </w:rPr>
        <w:t xml:space="preserve">При плануванні діяльності в межах цієї стратегічної цілі важливо, щоб розбудова економічних можливостей громади базувалась насамперед на місцевих ресурсах. На думку місцевих експертів, розвиток економіки Каховської громади має цілком досяжні перспективи за умови комплексного підходу, коли створення сприятливих умов для бізнесу «підкріплює» заходи з залучення інвестицій, що у поєднанні формує туристичну привабливість. </w:t>
      </w:r>
    </w:p>
    <w:p>
      <w:pPr>
        <w:pStyle w:val="Normal"/>
        <w:spacing w:lineRule="auto" w:line="240" w:before="120" w:after="120"/>
        <w:ind w:firstLine="709"/>
        <w:jc w:val="both"/>
        <w:rPr>
          <w:rFonts w:ascii="Times New Roman" w:hAnsi="Times New Roman" w:cs="Times New Roman"/>
          <w:sz w:val="24"/>
          <w:szCs w:val="24"/>
        </w:rPr>
      </w:pPr>
      <w:r>
        <w:rPr>
          <w:rFonts w:cs="Times New Roman" w:ascii="Times New Roman" w:hAnsi="Times New Roman"/>
          <w:sz w:val="24"/>
          <w:szCs w:val="24"/>
        </w:rPr>
        <w:t xml:space="preserve">Саме тому низка заходів і проєктів організаційного характеру мають спростити умови ведення бізнесу та впорядкувати діяльність місцевої влади. Системність підходу в розвитку економіки реалізується також у розробці кількох цільових програм. </w:t>
      </w:r>
    </w:p>
    <w:p>
      <w:pPr>
        <w:pStyle w:val="Normal"/>
        <w:spacing w:lineRule="auto" w:line="240" w:before="120" w:after="120"/>
        <w:ind w:firstLine="709"/>
        <w:jc w:val="both"/>
        <w:rPr>
          <w:rFonts w:ascii="Times New Roman" w:hAnsi="Times New Roman" w:cs="Times New Roman"/>
          <w:sz w:val="24"/>
          <w:szCs w:val="24"/>
        </w:rPr>
      </w:pPr>
      <w:r>
        <w:rPr>
          <w:rFonts w:cs="Times New Roman" w:ascii="Times New Roman" w:hAnsi="Times New Roman"/>
          <w:sz w:val="24"/>
          <w:szCs w:val="24"/>
        </w:rPr>
        <w:t>Діяльність у межах Стратегічної цілі 1 повністю узгоджується зі Стратегічною ціллю 1 «Регіональний економічний розвиток з урахуванням діджиталізації та інноваційно-інвестиційних процесів» Стратегії розвитку Херсонської області на період 2020 – 2027 років. Зокрема, у контексті завдань оперативних цілей 1.1. Розвиток інноваційних індустрій та діджиталізації, 1.2. Розвиток зрошення, органічного сільськогосподарського виробництва та рибного господарства, 1.3. Переробка сільськогосподарської продукції на засадах смарт-спеціалізації та 1.4. Туристично-рекреаційна індустрія для оздоровлення, відпочинку та інтелектуально-духовного збагачення людей.</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t>Досягнення Стратегічної цілі 1 «Економічний розвиток Каховської громади» пропонується через таку структуру оперативних цілей та завдань:</w:t>
      </w:r>
    </w:p>
    <w:p>
      <w:pPr>
        <w:pStyle w:val="2"/>
        <w:spacing w:before="0" w:after="0"/>
        <w:rPr>
          <w:rFonts w:ascii="Times New Roman" w:hAnsi="Times New Roman" w:cs="Times New Roman"/>
          <w:szCs w:val="24"/>
        </w:rPr>
      </w:pPr>
      <w:bookmarkStart w:id="105" w:name="_Toc84967183"/>
      <w:bookmarkEnd w:id="105"/>
      <w:r>
        <w:rPr>
          <w:rFonts w:cs="Times New Roman" w:ascii="Times New Roman" w:hAnsi="Times New Roman"/>
          <w:szCs w:val="24"/>
        </w:rPr>
        <w:t>Оперативна ціль 1.1. Створення сприятливого середовища для розвитку місцевого бізнесу</w:t>
      </w:r>
    </w:p>
    <w:p>
      <w:pPr>
        <w:pStyle w:val="Normal"/>
        <w:spacing w:lineRule="auto" w:line="240" w:before="0" w:after="0"/>
        <w:jc w:val="both"/>
        <w:rPr>
          <w:rFonts w:ascii="Times New Roman" w:hAnsi="Times New Roman" w:cs="Times New Roman"/>
          <w:sz w:val="6"/>
          <w:szCs w:val="6"/>
        </w:rPr>
      </w:pPr>
      <w:r>
        <w:rPr>
          <w:rFonts w:cs="Times New Roman" w:ascii="Times New Roman" w:hAnsi="Times New Roman"/>
          <w:sz w:val="6"/>
          <w:szCs w:val="6"/>
        </w:rPr>
      </w:r>
    </w:p>
    <w:p>
      <w:pPr>
        <w:pStyle w:val="Normal"/>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t>Завдання 1.1.1. Забезпечення діалогу між владою, бізнесом та громадою</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Надзвичайно важливим для розвитку місцевої економіки завданням є забезпечення дружнього діалогу між владою та бізнесом, реалізація якого демонструватиме імідж громади. Враховуючи це, планується розробка та ухвалення Програми підтримки малого та середнього підприємництва Каховської ТГ.</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В умовах зовнішньої агресії проти України політика дерегуляції має зосереджуватися на пріоритетному розвантаженні сектору малого й середнього підприємництва від надмірного адміністративного тиску, зважаючи на його високий потенціал у створенні нових робочих місць та забезпеченні самозайнятості. Використання інструментів регуляторного перегляду в громадах надасть можливість сформувати здорове конкурентне бізнес-середовище, створити комфортніші умови для місцевих підприємців та залучити іноземних інвесторів, і таким чином, забезпечити економічний розвиток міста, прозорість процесу прийняття рішень, налагодження комунікації між владою та бізнесом.</w:t>
      </w:r>
    </w:p>
    <w:p>
      <w:pPr>
        <w:pStyle w:val="Normal"/>
        <w:spacing w:lineRule="auto" w:line="240" w:before="0" w:after="0"/>
        <w:jc w:val="both"/>
        <w:rPr>
          <w:rFonts w:ascii="Times New Roman" w:hAnsi="Times New Roman" w:cs="Times New Roman"/>
          <w:sz w:val="16"/>
          <w:szCs w:val="16"/>
        </w:rPr>
      </w:pPr>
      <w:r>
        <w:rPr>
          <w:rFonts w:cs="Times New Roman" w:ascii="Times New Roman" w:hAnsi="Times New Roman"/>
          <w:sz w:val="16"/>
          <w:szCs w:val="16"/>
        </w:rPr>
      </w:r>
    </w:p>
    <w:p>
      <w:pPr>
        <w:pStyle w:val="Normal"/>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t>Завдання 1.1.2. Підвищення якості Е- врядування</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На веб-сайті громади в підрозділі «Підприємництво» розміщуватиметься актуальна інформація для бізнесу. Планується впровадження геоінформаційної системи та спеціалізованої інформаційно-аналітичної системи підтримки прийняття управлінських рішень на її основі, наповнення інформації до проекту «ГІС-портал Херсонської області»</w:t>
      </w:r>
    </w:p>
    <w:p>
      <w:pPr>
        <w:pStyle w:val="Normal"/>
        <w:spacing w:lineRule="auto" w:line="240" w:before="0" w:after="0"/>
        <w:ind w:firstLine="708"/>
        <w:jc w:val="both"/>
        <w:rPr/>
      </w:pPr>
      <w:r>
        <w:rPr>
          <w:rFonts w:cs="Times New Roman" w:ascii="Times New Roman" w:hAnsi="Times New Roman"/>
          <w:sz w:val="24"/>
          <w:szCs w:val="24"/>
        </w:rPr>
        <w:t xml:space="preserve">Також передбачено налагодження інформаційної взаємодії органів державної влади та органів місцевого самоврядування на базі електронного документообігу з використанням електронного цифрового підпису та застосування передових інноваційних технологій, запровадження комплексної системи освіти у сфері використання комп’ютерних технологій для мешканців громади, службових та посадових осіб, що дозволить забезпечити подальший розвиток інформаційного суспільства у громаді, підвищить ефективність діяльності органів місцевого самоврядування, дозволить економити ресурси на папері та часі. </w:t>
      </w:r>
    </w:p>
    <w:p>
      <w:pPr>
        <w:pStyle w:val="Normal"/>
        <w:spacing w:lineRule="auto" w:line="240" w:before="0" w:after="0"/>
        <w:jc w:val="both"/>
        <w:rPr>
          <w:rFonts w:ascii="Times New Roman" w:hAnsi="Times New Roman" w:cs="Times New Roman"/>
          <w:sz w:val="16"/>
          <w:szCs w:val="16"/>
        </w:rPr>
      </w:pPr>
      <w:r>
        <w:rPr>
          <w:rFonts w:cs="Times New Roman" w:ascii="Times New Roman" w:hAnsi="Times New Roman"/>
          <w:sz w:val="16"/>
          <w:szCs w:val="16"/>
        </w:rPr>
      </w:r>
    </w:p>
    <w:p>
      <w:pPr>
        <w:pStyle w:val="Normal"/>
        <w:spacing w:lineRule="auto" w:line="240" w:before="0" w:after="0"/>
        <w:ind w:left="1985" w:hanging="1985"/>
        <w:jc w:val="both"/>
        <w:rPr>
          <w:rFonts w:ascii="Times New Roman" w:hAnsi="Times New Roman" w:cs="Times New Roman"/>
          <w:b/>
          <w:b/>
          <w:sz w:val="24"/>
          <w:szCs w:val="24"/>
        </w:rPr>
      </w:pPr>
      <w:r>
        <w:rPr>
          <w:rFonts w:cs="Times New Roman" w:ascii="Times New Roman" w:hAnsi="Times New Roman"/>
          <w:b/>
          <w:sz w:val="24"/>
          <w:szCs w:val="24"/>
        </w:rPr>
        <w:t>Завдання 1.1.3. Адміністративні послуги</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Надання якісних адміністративних послуг, наближення їх до мешканців громади та створення прозорої та сервісноорієнтованої системи надання адміністративних послуг є основною метою адміністративно-територіальної реформи.</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Приміщення місцевого ЦНАП не в повній мірі відповідає вимогам, які встановлені до Центрів надання адміністративних послуг. У зв’язку з цим є потреба в реконструкції приміщення та облаштуванні ЦНАП для комфортного та якісного надання адміністративних послуг, для задоволення потреб усіх верств населення територіальної громади.</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Очікуваний результат - підвищення якості адміністративних послуг (зокрема за критеріями доступності та зручності) через спрощення процедур їх надання на основі підходу „комплексна послуга за життєвими та бізнес-ситуаціями”. Каховським Центром надання адміністративних послуг буде збільшуватись кількість послуг для бізнесу, які можна отримати з використанням ІТ інструментів. Планується надання послуг МВС (видача водійського посвідчення та реєстрації транспортного засобу), що стало необхідним в умовах пандемії.</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r>
    </w:p>
    <w:p>
      <w:pPr>
        <w:pStyle w:val="2"/>
        <w:spacing w:before="0" w:after="0"/>
        <w:ind w:left="2552" w:hanging="2552"/>
        <w:rPr>
          <w:rFonts w:ascii="Times New Roman" w:hAnsi="Times New Roman" w:cs="Times New Roman"/>
          <w:szCs w:val="24"/>
        </w:rPr>
      </w:pPr>
      <w:bookmarkStart w:id="106" w:name="_Toc84967184"/>
      <w:bookmarkStart w:id="107" w:name="_Hlk21331982"/>
      <w:bookmarkEnd w:id="106"/>
      <w:bookmarkEnd w:id="107"/>
      <w:r>
        <w:rPr>
          <w:rFonts w:cs="Times New Roman" w:ascii="Times New Roman" w:hAnsi="Times New Roman"/>
          <w:szCs w:val="24"/>
        </w:rPr>
        <w:t>Оперативна ціль 1.2. Розвиток інвестиційного клімату громади</w:t>
      </w:r>
    </w:p>
    <w:p>
      <w:pPr>
        <w:pStyle w:val="Normal"/>
        <w:spacing w:lineRule="auto" w:line="240" w:before="0" w:after="0"/>
        <w:jc w:val="both"/>
        <w:rPr>
          <w:rFonts w:ascii="Times New Roman" w:hAnsi="Times New Roman" w:cs="Times New Roman"/>
          <w:b/>
          <w:b/>
          <w:sz w:val="6"/>
          <w:szCs w:val="6"/>
        </w:rPr>
      </w:pPr>
      <w:r>
        <w:rPr>
          <w:rFonts w:cs="Times New Roman" w:ascii="Times New Roman" w:hAnsi="Times New Roman"/>
          <w:b/>
          <w:sz w:val="6"/>
          <w:szCs w:val="6"/>
        </w:rPr>
      </w:r>
    </w:p>
    <w:p>
      <w:pPr>
        <w:pStyle w:val="Normal"/>
        <w:spacing w:lineRule="auto" w:line="240" w:before="0" w:after="0"/>
        <w:ind w:left="1701" w:hanging="1701"/>
        <w:jc w:val="both"/>
        <w:rPr>
          <w:rFonts w:ascii="Times New Roman" w:hAnsi="Times New Roman" w:cs="Times New Roman"/>
          <w:b/>
          <w:b/>
          <w:sz w:val="24"/>
          <w:szCs w:val="24"/>
        </w:rPr>
      </w:pPr>
      <w:bookmarkStart w:id="108" w:name="_Hlk26984105"/>
      <w:bookmarkEnd w:id="108"/>
      <w:r>
        <w:rPr>
          <w:rFonts w:cs="Times New Roman" w:ascii="Times New Roman" w:hAnsi="Times New Roman"/>
          <w:b/>
          <w:sz w:val="24"/>
          <w:szCs w:val="24"/>
        </w:rPr>
        <w:t>Завдання 1.2.1. Актуалізація документів просторового планування</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Якісні та актуальні документи просторового планування є інформаційною підтримкою та необхідним забезпеченням розвиткового процесу. Розроблення Комплексного плану просторового розвитку території Каховської міської територіальної громади передбачає узгоджене прийняття рішень щодо цілісного (комплексного) просторового розвитку населених пунктів як єдиної системи розселення і території за їх межами. Іншим важливим проєкто</w:t>
      </w:r>
      <w:r>
        <w:rPr>
          <w:rFonts w:cs="Times New Roman" w:ascii="Times New Roman" w:hAnsi="Times New Roman"/>
          <w:sz w:val="24"/>
          <w:szCs w:val="24"/>
          <w:highlight w:val="white"/>
        </w:rPr>
        <w:t xml:space="preserve">м є створення цифрової карти громади, яка стане робочим інструментом усіх рівнів планування – від землевпорядників та архітекторів до фахівців економічного і фінансового секторів. </w:t>
      </w:r>
    </w:p>
    <w:p>
      <w:pPr>
        <w:pStyle w:val="Normal"/>
        <w:spacing w:lineRule="auto" w:line="240" w:before="0" w:after="0"/>
        <w:jc w:val="both"/>
        <w:rPr>
          <w:rFonts w:ascii="Times New Roman" w:hAnsi="Times New Roman" w:cs="Times New Roman"/>
          <w:sz w:val="16"/>
          <w:szCs w:val="16"/>
          <w:highlight w:val="yellow"/>
        </w:rPr>
      </w:pPr>
      <w:bookmarkStart w:id="109" w:name="_Hlk213319821"/>
      <w:bookmarkStart w:id="110" w:name="_Hlk213319821"/>
      <w:bookmarkEnd w:id="110"/>
      <w:r>
        <w:rPr>
          <w:rFonts w:cs="Times New Roman" w:ascii="Times New Roman" w:hAnsi="Times New Roman"/>
          <w:sz w:val="16"/>
          <w:szCs w:val="16"/>
          <w:highlight w:val="yellow"/>
        </w:rPr>
      </w:r>
    </w:p>
    <w:p>
      <w:pPr>
        <w:pStyle w:val="Normal"/>
        <w:spacing w:lineRule="auto" w:line="240" w:before="0" w:after="0"/>
        <w:ind w:left="1843" w:hanging="1843"/>
        <w:jc w:val="both"/>
        <w:rPr>
          <w:rFonts w:ascii="Times New Roman" w:hAnsi="Times New Roman" w:cs="Times New Roman"/>
          <w:b/>
          <w:b/>
          <w:sz w:val="24"/>
          <w:szCs w:val="24"/>
        </w:rPr>
      </w:pPr>
      <w:bookmarkStart w:id="111" w:name="_Hlk26984652"/>
      <w:bookmarkEnd w:id="111"/>
      <w:r>
        <w:rPr>
          <w:rFonts w:cs="Times New Roman" w:ascii="Times New Roman" w:hAnsi="Times New Roman"/>
          <w:b/>
          <w:sz w:val="24"/>
          <w:szCs w:val="24"/>
        </w:rPr>
        <w:t>Завдання 1.2.2. Просування інвестиційних можливостей громади (інвестиційний паспорт, земля, проекти)</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Зі збільшенням території громади, інвентаризація землі стала одним із ключових факторів її подальшого успіху та розвитку. Буде створена повноцінна база даних про всі земельні ділянки в межах населених пунктів на паперових та електронних носіях, що підвищить інвестиційну привабливість громади, спростить пошук потенційних земельних ділянок для інвестора та містобудівних потреб.</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 xml:space="preserve">Важливим напрямком інвестиційної політики громади, пов'язаним із стратегією соціально-економічного розвитку, є маркетинг інвестиційних можливостей серед потенційних інвесторів. Каховська міська територіальна громада має неабиякий потенціал для підвищення інвестиційної привабливості завдяки вигідному географічному положенню, людському та промисловому ресурсам. Серед важливих завдань, які стоять перед громадою, - залучення додаткових інвестицій, що сприятиме створенню нових робочих місць та економічному зростанню. Розробка Програми залучення інвестицій в економіку Каховської міської ТГ на 2022-2024 роки, яка включає в себе розробку інвестиційного паспорту та сприянню реалізації інвестиційних пропозицій та програм, забезпечить розвиток ефективної системи управління економікою громади. </w:t>
      </w:r>
    </w:p>
    <w:p>
      <w:pPr>
        <w:pStyle w:val="Normal"/>
        <w:spacing w:lineRule="auto" w:line="240" w:before="0" w:after="0"/>
        <w:rPr>
          <w:rFonts w:ascii="Times New Roman" w:hAnsi="Times New Roman" w:cs="Times New Roman"/>
          <w:sz w:val="16"/>
          <w:szCs w:val="16"/>
        </w:rPr>
      </w:pPr>
      <w:r>
        <w:rPr>
          <w:rFonts w:cs="Times New Roman" w:ascii="Times New Roman" w:hAnsi="Times New Roman"/>
          <w:sz w:val="16"/>
          <w:szCs w:val="16"/>
        </w:rPr>
      </w:r>
    </w:p>
    <w:p>
      <w:pPr>
        <w:pStyle w:val="Normal"/>
        <w:spacing w:lineRule="auto" w:line="240" w:before="0" w:after="0"/>
        <w:ind w:left="1843" w:hanging="1843"/>
        <w:jc w:val="both"/>
        <w:rPr>
          <w:rFonts w:ascii="Times New Roman" w:hAnsi="Times New Roman" w:cs="Times New Roman"/>
          <w:b/>
          <w:b/>
          <w:sz w:val="24"/>
          <w:szCs w:val="24"/>
        </w:rPr>
      </w:pPr>
      <w:r>
        <w:rPr>
          <w:rFonts w:cs="Times New Roman" w:ascii="Times New Roman" w:hAnsi="Times New Roman"/>
          <w:b/>
          <w:sz w:val="24"/>
          <w:szCs w:val="24"/>
        </w:rPr>
        <w:t>Завдання 1.2.3. Розвиток аграрно-промислового комплексу</w:t>
      </w:r>
    </w:p>
    <w:p>
      <w:pPr>
        <w:pStyle w:val="Normal"/>
        <w:spacing w:lineRule="auto" w:line="240" w:before="0" w:after="0"/>
        <w:ind w:firstLine="708"/>
        <w:jc w:val="both"/>
        <w:rPr>
          <w:rFonts w:ascii="Times New Roman" w:hAnsi="Times New Roman" w:cs="Times New Roman"/>
          <w:sz w:val="24"/>
          <w:szCs w:val="24"/>
        </w:rPr>
      </w:pPr>
      <w:bookmarkStart w:id="112" w:name="_Hlk84676202"/>
      <w:bookmarkEnd w:id="112"/>
      <w:r>
        <w:rPr>
          <w:rFonts w:cs="Times New Roman" w:ascii="Times New Roman" w:hAnsi="Times New Roman"/>
          <w:sz w:val="24"/>
          <w:szCs w:val="24"/>
        </w:rPr>
        <w:t xml:space="preserve">Каховська громада має сприятливі умови для розвитку ефективного сільського господарства. На території громади загальною площею 19,6 тис. га знаходиться 12,7 тис. га (75%) сільськогосподарських земель, в тому числі майже 8 тис. га під зрошенням. </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Малі сільськогосподарські виробники виробляють переважну частину картоплі, фруктів, овочів. Вони охоплюють більшість населення, зайнятого у сільському господарстві та здійснюють комерційну діяльність, реалізуючи власно вироблену продукцію переважно на локальних (місцевих) ринках. Ця діяльність потребує додаткової підтримки на розвиток виробництва, підвищення конкурентоспроможності, щоб забезпечити стабільність доходів та долученість до процесів модернізації та диверсифікації діяльності. Тому розробка та реалізація заходів “Програми стимулювання зайнятості та розвитку сільського господарства Каховської ТГ на 2022-2024 роки” буде одним з механізмів підтримки малих виробників сільськогосподарської продукції для сприяння їх конкурентоздатності, доходності, що в кінцевому підсумку призведе до збільшення надходжень до бюджету громади.</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З урахуванням особливостей місцевого АПК, окремої уваги передбачено заходам з відновлення та раціонального використання меліоративної системи.</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r>
    </w:p>
    <w:p>
      <w:pPr>
        <w:pStyle w:val="2"/>
        <w:spacing w:before="0" w:after="0"/>
        <w:ind w:left="2552" w:hanging="2552"/>
        <w:rPr>
          <w:rFonts w:ascii="Times New Roman" w:hAnsi="Times New Roman" w:cs="Times New Roman"/>
          <w:szCs w:val="24"/>
        </w:rPr>
      </w:pPr>
      <w:bookmarkStart w:id="113" w:name="_Toc84967185"/>
      <w:bookmarkEnd w:id="113"/>
      <w:r>
        <w:rPr>
          <w:rFonts w:cs="Times New Roman" w:ascii="Times New Roman" w:hAnsi="Times New Roman"/>
          <w:szCs w:val="24"/>
        </w:rPr>
        <w:t>Оперативна ціль 1.3. Економіка вражень, економіка сенсів: нова економічна пропозиція для створення сильних територіальних брендів на основі використання історико-культурної спадщини</w:t>
      </w:r>
    </w:p>
    <w:p>
      <w:pPr>
        <w:pStyle w:val="Normal"/>
        <w:spacing w:lineRule="auto" w:line="240" w:before="0" w:after="0"/>
        <w:jc w:val="both"/>
        <w:rPr>
          <w:rFonts w:ascii="Times New Roman" w:hAnsi="Times New Roman" w:cs="Times New Roman"/>
          <w:b/>
          <w:b/>
          <w:sz w:val="6"/>
          <w:szCs w:val="6"/>
        </w:rPr>
      </w:pPr>
      <w:r>
        <w:rPr>
          <w:rFonts w:cs="Times New Roman" w:ascii="Times New Roman" w:hAnsi="Times New Roman"/>
          <w:b/>
          <w:sz w:val="6"/>
          <w:szCs w:val="6"/>
        </w:rPr>
      </w:r>
    </w:p>
    <w:p>
      <w:pPr>
        <w:pStyle w:val="Normal"/>
        <w:spacing w:lineRule="auto" w:line="240" w:before="0" w:after="0"/>
        <w:ind w:left="1701" w:hanging="1701"/>
        <w:jc w:val="both"/>
        <w:rPr>
          <w:rFonts w:ascii="Times New Roman" w:hAnsi="Times New Roman" w:cs="Times New Roman"/>
          <w:b/>
          <w:b/>
          <w:sz w:val="24"/>
          <w:szCs w:val="24"/>
        </w:rPr>
      </w:pPr>
      <w:r>
        <w:rPr>
          <w:rFonts w:cs="Times New Roman" w:ascii="Times New Roman" w:hAnsi="Times New Roman"/>
          <w:b/>
          <w:sz w:val="24"/>
          <w:szCs w:val="24"/>
        </w:rPr>
        <w:t>Завдання 1.3.1. Створення умов для розвитку туристичного бізнесу</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 xml:space="preserve">Враховуючи та використовуючи етнічні та природні переваги, людські ресурси Каховської ТГ для розвитку туризму в сільській місцевості, планується залучити мешканців сіл до виробництва екологічно чистої продукції та створити еко-подвір`я. Також, забезпечити розробку місцевих туристичних маршрутів та сприяти  інформаційному просуванню туристичних послуг, що надають місцеві підприємці. Серед організаційних заходів - провести інвентаризацію туристичних ресурсів (культурних об'єктів, локацій, атракцій) Каховської міської територіальної громади з метою їх встановлення та впорядкування в єдину базу даних та визначення потенційних можливостей розвитку туризму. </w:t>
      </w:r>
    </w:p>
    <w:p>
      <w:pPr>
        <w:pStyle w:val="Normal"/>
        <w:spacing w:lineRule="auto" w:line="240" w:before="0" w:after="0"/>
        <w:jc w:val="both"/>
        <w:rPr>
          <w:rFonts w:ascii="Times New Roman" w:hAnsi="Times New Roman" w:cs="Times New Roman"/>
          <w:sz w:val="16"/>
          <w:szCs w:val="16"/>
          <w:highlight w:val="yellow"/>
        </w:rPr>
      </w:pPr>
      <w:r>
        <w:rPr>
          <w:rFonts w:cs="Times New Roman" w:ascii="Times New Roman" w:hAnsi="Times New Roman"/>
          <w:sz w:val="16"/>
          <w:szCs w:val="16"/>
          <w:highlight w:val="yellow"/>
        </w:rPr>
      </w:r>
    </w:p>
    <w:p>
      <w:pPr>
        <w:pStyle w:val="Normal"/>
        <w:spacing w:lineRule="auto" w:line="240" w:before="0" w:after="0"/>
        <w:ind w:left="1843" w:hanging="1843"/>
        <w:jc w:val="both"/>
        <w:rPr>
          <w:rFonts w:ascii="Times New Roman" w:hAnsi="Times New Roman" w:cs="Times New Roman"/>
          <w:b/>
          <w:b/>
          <w:sz w:val="24"/>
          <w:szCs w:val="24"/>
        </w:rPr>
      </w:pPr>
      <w:r>
        <w:rPr>
          <w:rFonts w:cs="Times New Roman" w:ascii="Times New Roman" w:hAnsi="Times New Roman"/>
          <w:b/>
          <w:sz w:val="24"/>
          <w:szCs w:val="24"/>
        </w:rPr>
        <w:t>Завдання 1.3.2. Маркетинг та брендинг території громади</w:t>
      </w:r>
    </w:p>
    <w:p>
      <w:pPr>
        <w:pStyle w:val="Normal"/>
        <w:spacing w:lineRule="auto" w:line="240" w:before="0" w:after="0"/>
        <w:ind w:firstLine="708"/>
        <w:jc w:val="both"/>
        <w:rPr/>
      </w:pPr>
      <w:r>
        <w:rPr>
          <w:rFonts w:cs="Times New Roman" w:ascii="Times New Roman" w:hAnsi="Times New Roman"/>
          <w:sz w:val="24"/>
          <w:szCs w:val="24"/>
        </w:rPr>
        <w:t xml:space="preserve">У зв’язку з посиленням конкуренції між окремими містами та громадами, стає актуальним створення маркетингової системи громади і розробка та реалізація стратегії просування бренду громади в епіцентр глобального інформаційного простору. </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r>
    </w:p>
    <w:p>
      <w:pPr>
        <w:pStyle w:val="1"/>
        <w:pageBreakBefore w:val="false"/>
        <w:shd w:val="clear" w:color="auto" w:fill="FFBD5D"/>
        <w:tabs>
          <w:tab w:val="left" w:pos="284" w:leader="none"/>
          <w:tab w:val="left" w:pos="567" w:leader="none"/>
        </w:tabs>
        <w:spacing w:lineRule="auto" w:line="240" w:before="0" w:after="120"/>
        <w:rPr>
          <w:rFonts w:ascii="Times New Roman" w:hAnsi="Times New Roman" w:cs="Times New Roman"/>
          <w:sz w:val="26"/>
          <w:szCs w:val="26"/>
        </w:rPr>
      </w:pPr>
      <w:bookmarkStart w:id="114" w:name="_Toc84967186"/>
      <w:r>
        <w:rPr>
          <w:rFonts w:cs="Times New Roman" w:ascii="Times New Roman" w:hAnsi="Times New Roman"/>
          <w:sz w:val="26"/>
          <w:szCs w:val="26"/>
        </w:rPr>
        <w:t xml:space="preserve">Стратегічна ціль 2. </w:t>
      </w:r>
      <w:bookmarkStart w:id="115" w:name="_Hlk84677452"/>
      <w:r>
        <w:rPr>
          <w:rFonts w:cs="Times New Roman" w:ascii="Times New Roman" w:hAnsi="Times New Roman"/>
          <w:sz w:val="26"/>
          <w:szCs w:val="26"/>
        </w:rPr>
        <w:t>Розвиток людського капіталу та соціальної інфраструктури</w:t>
      </w:r>
      <w:bookmarkEnd w:id="114"/>
      <w:bookmarkEnd w:id="115"/>
      <w:r>
        <w:rPr>
          <w:rFonts w:cs="Times New Roman" w:ascii="Times New Roman" w:hAnsi="Times New Roman"/>
          <w:sz w:val="26"/>
          <w:szCs w:val="26"/>
        </w:rPr>
        <w:br/>
      </w:r>
    </w:p>
    <w:p>
      <w:pPr>
        <w:pStyle w:val="Normal"/>
        <w:spacing w:lineRule="auto" w:line="240" w:before="0" w:after="120"/>
        <w:ind w:firstLine="709"/>
        <w:jc w:val="both"/>
        <w:rPr>
          <w:rFonts w:ascii="Times New Roman" w:hAnsi="Times New Roman" w:cs="Times New Roman"/>
          <w:sz w:val="24"/>
          <w:szCs w:val="24"/>
        </w:rPr>
      </w:pPr>
      <w:r>
        <w:rPr>
          <w:rFonts w:cs="Times New Roman" w:ascii="Times New Roman" w:hAnsi="Times New Roman"/>
          <w:sz w:val="24"/>
          <w:szCs w:val="24"/>
        </w:rPr>
        <w:t xml:space="preserve">Каховська громада враховує, що людський капітал є інтенсивним продуктивним чинником економічного зростання, його розвиток є запорукою процвітання громади. У сучасній Україні збільшується попит на кваліфікованих робітників, що підтверджується інтенсифікацією процесів на ринку праці, нагальною потребою у переорієнтації професійного навчання. Зростання дефіциту робочої сили у сусідніх країнах поряд з кращою мобільністю наших громадян обумовлює жорсткішу конкуренцію за робітника, мешканця, управлінця. </w:t>
      </w:r>
    </w:p>
    <w:p>
      <w:pPr>
        <w:pStyle w:val="Normal"/>
        <w:spacing w:lineRule="auto" w:line="240" w:before="0" w:after="120"/>
        <w:ind w:firstLine="709"/>
        <w:jc w:val="both"/>
        <w:rPr>
          <w:rFonts w:ascii="Times New Roman" w:hAnsi="Times New Roman" w:cs="Times New Roman"/>
          <w:sz w:val="24"/>
          <w:szCs w:val="24"/>
        </w:rPr>
      </w:pPr>
      <w:r>
        <w:rPr>
          <w:rFonts w:cs="Times New Roman" w:ascii="Times New Roman" w:hAnsi="Times New Roman"/>
          <w:sz w:val="24"/>
          <w:szCs w:val="24"/>
        </w:rPr>
        <w:t xml:space="preserve">Останнім часом не лише у приватному секторі, але й на рівні громад має місце змагання за кваліфікованого працівника, активного громадянина, добросовісного платника податків. Конкурентоздатність кожної громади залежить не лише від економічних і правових чинників, а насамперед і від якості людського капіталу та налагодження хороших взаємовідносин між владою і громадськістю. </w:t>
      </w:r>
    </w:p>
    <w:p>
      <w:pPr>
        <w:pStyle w:val="Normal"/>
        <w:spacing w:lineRule="auto" w:line="240" w:before="0" w:after="120"/>
        <w:ind w:firstLine="709"/>
        <w:jc w:val="both"/>
        <w:rPr>
          <w:rFonts w:ascii="Times New Roman" w:hAnsi="Times New Roman" w:cs="Times New Roman"/>
          <w:sz w:val="24"/>
          <w:szCs w:val="24"/>
        </w:rPr>
      </w:pPr>
      <w:r>
        <w:rPr>
          <w:rFonts w:cs="Times New Roman" w:ascii="Times New Roman" w:hAnsi="Times New Roman"/>
          <w:sz w:val="24"/>
          <w:szCs w:val="24"/>
        </w:rPr>
        <w:t>Каховська громада досить гостро відчуває вплив міграційних процесів. Саме тому, стратегічна ціль з розвитку людського капіталу та соціальної інфраструктури покликана забезпечити для мешканців усіх населених пунктів громади високу якість освіти, надання медичних послуг, задоволення культурних потреб та можливостей заняття спортом. Освічений, здоровий та всебічно розвинений мешканець Каховської громади – це запорука майбутнього, перспектива сталого зростання.</w:t>
      </w:r>
    </w:p>
    <w:p>
      <w:pPr>
        <w:pStyle w:val="Normal"/>
        <w:spacing w:lineRule="auto" w:line="240" w:before="0" w:after="120"/>
        <w:ind w:firstLine="709"/>
        <w:jc w:val="both"/>
        <w:rPr>
          <w:rFonts w:ascii="Times New Roman" w:hAnsi="Times New Roman" w:cs="Times New Roman"/>
          <w:sz w:val="24"/>
          <w:szCs w:val="24"/>
        </w:rPr>
      </w:pPr>
      <w:r>
        <w:rPr>
          <w:rFonts w:cs="Times New Roman" w:ascii="Times New Roman" w:hAnsi="Times New Roman"/>
          <w:sz w:val="24"/>
          <w:szCs w:val="24"/>
        </w:rPr>
        <w:t>Діяльність у межах Стратегічної цілі 2 узгоджується з завданнями регіональної Стратегічної цілі 2. «Демографічний та просторовий розвиток» Стратегії розвитку Херсонської області на період 2021-2027 років. Зокрема, що стосується оперативних цілей 2.1.Херсонщина - територія здорового життя, 2.2. Розвиток людського капіталу для забезпечення продуктивної зайнятості населення та 2.4. Збереження та розвиток культурного простору.</w:t>
      </w:r>
    </w:p>
    <w:p>
      <w:pPr>
        <w:pStyle w:val="Normal"/>
        <w:spacing w:lineRule="auto" w:line="240" w:before="0" w:after="0"/>
        <w:ind w:firstLine="709"/>
        <w:jc w:val="both"/>
        <w:rPr/>
      </w:pPr>
      <w:bookmarkStart w:id="116" w:name="_Hlk43473291"/>
      <w:bookmarkEnd w:id="116"/>
      <w:r>
        <w:rPr>
          <w:rFonts w:cs="Times New Roman" w:ascii="Times New Roman" w:hAnsi="Times New Roman"/>
          <w:sz w:val="24"/>
          <w:szCs w:val="24"/>
        </w:rPr>
        <w:t>Досягнення Стратегічної цілі 2 «Розвиток людського капіталу та соціальної інфраструктури» пропонується через наступну структуру оперативних цілей та завдань.</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2"/>
        <w:spacing w:before="0" w:after="0"/>
        <w:ind w:left="2410" w:hanging="2410"/>
        <w:rPr>
          <w:rFonts w:ascii="Times New Roman" w:hAnsi="Times New Roman" w:cs="Times New Roman"/>
        </w:rPr>
      </w:pPr>
      <w:bookmarkStart w:id="117" w:name="_Toc84967187"/>
      <w:bookmarkEnd w:id="117"/>
      <w:r>
        <w:rPr>
          <w:rFonts w:cs="Times New Roman" w:ascii="Times New Roman" w:hAnsi="Times New Roman"/>
        </w:rPr>
        <w:t>Оперативна ціль 2.1. Розвиток освітньої галузі громади</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Створення системи управління у сфері освіти, що відповідатиме потребам і можливостям громади, є ключовим елементом та першим викликом для органів місцевого самоврядування.</w:t>
      </w:r>
    </w:p>
    <w:p>
      <w:pPr>
        <w:pStyle w:val="Normal"/>
        <w:spacing w:lineRule="auto" w:line="240" w:before="0" w:after="0"/>
        <w:ind w:firstLine="708"/>
        <w:jc w:val="both"/>
        <w:rPr>
          <w:rFonts w:ascii="Times New Roman" w:hAnsi="Times New Roman" w:cs="Times New Roman"/>
          <w:sz w:val="16"/>
          <w:szCs w:val="16"/>
        </w:rPr>
      </w:pPr>
      <w:r>
        <w:rPr>
          <w:rFonts w:cs="Times New Roman" w:ascii="Times New Roman" w:hAnsi="Times New Roman"/>
          <w:sz w:val="16"/>
          <w:szCs w:val="16"/>
        </w:rPr>
      </w:r>
    </w:p>
    <w:p>
      <w:pPr>
        <w:pStyle w:val="Normal"/>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t>Завдання 2.1.1. Надання якісних сучасних освітніх послуг</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У межах реформування галузі освіти, з метою створення єдиного освітнього простору, забезпечення рівного доступу до якісної освіти дітей сільської місцевості, школярів з особливими освітніми потребами, з урахуванням раціонального і ефективного використання матеріально-технічної бази, буде створено принципово нову систему освіти у громаді, фундаментальним підґрунтям якої є сучасні освітні заклади. Розпочато підготовчу роботу щодо створення міського академічного ліцею та формування у ньому безпечного, інклюзивного та цифрового освітнього середовища, належної матеріально-технічної бази.</w:t>
      </w:r>
    </w:p>
    <w:p>
      <w:pPr>
        <w:pStyle w:val="Normal"/>
        <w:spacing w:lineRule="auto" w:line="240" w:before="0" w:after="0"/>
        <w:ind w:firstLine="708"/>
        <w:jc w:val="both"/>
        <w:rPr>
          <w:rFonts w:ascii="Times New Roman" w:hAnsi="Times New Roman" w:cs="Times New Roman"/>
          <w:sz w:val="16"/>
          <w:szCs w:val="16"/>
        </w:rPr>
      </w:pPr>
      <w:r>
        <w:rPr>
          <w:rFonts w:cs="Times New Roman" w:ascii="Times New Roman" w:hAnsi="Times New Roman"/>
          <w:sz w:val="16"/>
          <w:szCs w:val="16"/>
        </w:rPr>
      </w:r>
    </w:p>
    <w:p>
      <w:pPr>
        <w:pStyle w:val="Normal"/>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t>Завдання 2.1.2. Модернізація матеріально-технічної бази закладів освіти</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t>Висока якість надання освітніх послуг можлива лише при системному підході та високій кваліфікації педагогічного персоналу. Для підвищення якості освіти, наближення її до стандартів Нової української школи (НУШ), планується виділення коштів на придбання навчальних кабінетів.</w:t>
      </w:r>
    </w:p>
    <w:p>
      <w:pPr>
        <w:pStyle w:val="Normal"/>
        <w:spacing w:lineRule="auto" w:line="240" w:before="0" w:after="0"/>
        <w:ind w:firstLine="709"/>
        <w:jc w:val="both"/>
        <w:rPr/>
      </w:pPr>
      <w:r>
        <w:rPr>
          <w:rFonts w:cs="Times New Roman" w:ascii="Times New Roman" w:hAnsi="Times New Roman"/>
          <w:sz w:val="24"/>
          <w:szCs w:val="24"/>
        </w:rPr>
        <w:t>Зокрема, передбачено провести капітальні ремонти (термомодернізація) будівлі Каховського ДНЗ №10 «Казка», харчоблоку з оновленням інтер’єру в приміщеннях Каховської ЗОШ І-ІІІ ступенів №1, реконструювати систему опалення будівлі Каховського ЗДО №3 «Веселка», провести заходи із забезпечення пожежної безпеки закладів освіти громади, реконструкцію огорожі та системи опалення в Чорноморівській гімназії.</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2"/>
        <w:spacing w:before="0" w:after="0"/>
        <w:ind w:left="2410" w:hanging="2410"/>
        <w:rPr>
          <w:rFonts w:ascii="Times New Roman" w:hAnsi="Times New Roman" w:cs="Times New Roman"/>
          <w:szCs w:val="24"/>
        </w:rPr>
      </w:pPr>
      <w:bookmarkStart w:id="118" w:name="_Toc84967188"/>
      <w:bookmarkEnd w:id="118"/>
      <w:r>
        <w:rPr>
          <w:rFonts w:cs="Times New Roman" w:ascii="Times New Roman" w:hAnsi="Times New Roman"/>
          <w:szCs w:val="24"/>
        </w:rPr>
        <w:t>Оперативна ціль 2.2. Сучасна охорона здоров’я та медичні послуги</w:t>
      </w:r>
    </w:p>
    <w:p>
      <w:pPr>
        <w:pStyle w:val="Normal"/>
        <w:spacing w:lineRule="auto" w:line="240" w:before="0" w:after="0"/>
        <w:jc w:val="both"/>
        <w:rPr>
          <w:rFonts w:ascii="Times New Roman" w:hAnsi="Times New Roman" w:cs="Times New Roman"/>
          <w:sz w:val="6"/>
          <w:szCs w:val="6"/>
        </w:rPr>
      </w:pPr>
      <w:r>
        <w:rPr>
          <w:rFonts w:cs="Times New Roman" w:ascii="Times New Roman" w:hAnsi="Times New Roman"/>
          <w:sz w:val="6"/>
          <w:szCs w:val="6"/>
        </w:rPr>
      </w:r>
    </w:p>
    <w:p>
      <w:pPr>
        <w:pStyle w:val="Normal"/>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t>Завдання 2.2.1. Підвищення якості послуг закладів охорони здоров’я</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 xml:space="preserve">Доступність, якість, сучасність, безпека, функціональність, ефективність, ресурсна забезпеченість та своєчасність медичної допомоги є основою для забезпечення високого рівня здоров’я та покращення якості життя населення Каховської громади. </w:t>
      </w:r>
    </w:p>
    <w:p>
      <w:pPr>
        <w:pStyle w:val="Normal"/>
        <w:spacing w:lineRule="auto" w:line="240" w:before="0" w:after="0"/>
        <w:ind w:firstLine="708"/>
        <w:jc w:val="both"/>
        <w:rPr/>
      </w:pPr>
      <w:bookmarkStart w:id="119" w:name="_Hlk43477479"/>
      <w:bookmarkEnd w:id="119"/>
      <w:r>
        <w:rPr>
          <w:rFonts w:cs="Times New Roman" w:ascii="Times New Roman" w:hAnsi="Times New Roman"/>
          <w:sz w:val="24"/>
          <w:szCs w:val="24"/>
        </w:rPr>
        <w:t>Маючи на меті створити ефективну систему первинної медико-санітарної ланки запланована розробка та реалізація Програми розвитку та фінансової підтримки первинної та вторинної ланки медико-санітарної допомоги на 2022 рік, яка передбачає фінансування з різного рівня бюджетів. З турботою про здоров’я своїх мешканців, громада за заходами Програм планує провести капітальні і поточні ремонти у фельдшерських пунктах громади, введення в дію телемедицини тощо.</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r>
    </w:p>
    <w:p>
      <w:pPr>
        <w:pStyle w:val="2"/>
        <w:spacing w:before="0" w:after="0"/>
        <w:ind w:left="2410" w:hanging="2410"/>
        <w:rPr>
          <w:rFonts w:ascii="Times New Roman" w:hAnsi="Times New Roman" w:cs="Times New Roman"/>
          <w:szCs w:val="24"/>
        </w:rPr>
      </w:pPr>
      <w:bookmarkStart w:id="120" w:name="_Toc84967189"/>
      <w:bookmarkEnd w:id="120"/>
      <w:r>
        <w:rPr>
          <w:rFonts w:cs="Times New Roman" w:ascii="Times New Roman" w:hAnsi="Times New Roman"/>
          <w:szCs w:val="24"/>
        </w:rPr>
        <w:t>Оперативна ціль 2.3. Розвиток культури</w:t>
      </w:r>
    </w:p>
    <w:p>
      <w:pPr>
        <w:pStyle w:val="Normal"/>
        <w:spacing w:lineRule="auto" w:line="240" w:before="0" w:after="0"/>
        <w:jc w:val="both"/>
        <w:rPr>
          <w:rFonts w:ascii="Times New Roman" w:hAnsi="Times New Roman" w:cs="Times New Roman"/>
          <w:sz w:val="6"/>
          <w:szCs w:val="6"/>
        </w:rPr>
      </w:pPr>
      <w:r>
        <w:rPr>
          <w:rFonts w:cs="Times New Roman" w:ascii="Times New Roman" w:hAnsi="Times New Roman"/>
          <w:sz w:val="6"/>
          <w:szCs w:val="6"/>
        </w:rPr>
      </w:r>
    </w:p>
    <w:p>
      <w:pPr>
        <w:pStyle w:val="Normal"/>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t>Завдання 2.3.1. Модернізація закладів культури</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Надання якісних та доступних послуг культурного спрямування має враховувати потребу у профільних закладах. На даний час багато закладів Каховської громади, а особливо в сільській місцевості потребують модернізації. Серед погоджених заходів на ближчу перспективу:</w:t>
      </w:r>
    </w:p>
    <w:p>
      <w:pPr>
        <w:pStyle w:val="Normal"/>
        <w:spacing w:lineRule="auto" w:line="240" w:before="0" w:after="0"/>
        <w:ind w:left="142" w:hanging="142"/>
        <w:jc w:val="both"/>
        <w:rPr>
          <w:rFonts w:ascii="Times New Roman" w:hAnsi="Times New Roman" w:cs="Times New Roman"/>
          <w:sz w:val="24"/>
          <w:szCs w:val="24"/>
        </w:rPr>
      </w:pPr>
      <w:r>
        <w:rPr>
          <w:rFonts w:cs="Times New Roman" w:ascii="Times New Roman" w:hAnsi="Times New Roman"/>
          <w:sz w:val="24"/>
          <w:szCs w:val="24"/>
        </w:rPr>
        <w:t>- модернізація дитячого відділу відокремленого підрозділу Управління культури і туризму «Міська універсальна бібліотека»,</w:t>
      </w:r>
    </w:p>
    <w:p>
      <w:pPr>
        <w:pStyle w:val="Normal"/>
        <w:spacing w:lineRule="auto" w:line="240" w:before="0" w:after="0"/>
        <w:ind w:left="142" w:hanging="142"/>
        <w:jc w:val="both"/>
        <w:rPr>
          <w:rFonts w:ascii="Times New Roman" w:hAnsi="Times New Roman" w:cs="Times New Roman"/>
          <w:sz w:val="24"/>
          <w:szCs w:val="24"/>
        </w:rPr>
      </w:pPr>
      <w:r>
        <w:rPr>
          <w:rFonts w:cs="Times New Roman" w:ascii="Times New Roman" w:hAnsi="Times New Roman"/>
          <w:sz w:val="24"/>
          <w:szCs w:val="24"/>
        </w:rPr>
        <w:t>- модернізація сценічного комплексу ВП МПК «Меліоратор» в м. Каховка,</w:t>
      </w:r>
    </w:p>
    <w:p>
      <w:pPr>
        <w:pStyle w:val="Normal"/>
        <w:spacing w:lineRule="auto" w:line="240" w:before="0" w:after="0"/>
        <w:ind w:left="142" w:hanging="142"/>
        <w:jc w:val="both"/>
        <w:rPr>
          <w:rFonts w:ascii="Times New Roman" w:hAnsi="Times New Roman" w:cs="Times New Roman"/>
          <w:sz w:val="24"/>
          <w:szCs w:val="24"/>
        </w:rPr>
      </w:pPr>
      <w:r>
        <w:rPr>
          <w:rFonts w:cs="Times New Roman" w:ascii="Times New Roman" w:hAnsi="Times New Roman"/>
          <w:sz w:val="24"/>
          <w:szCs w:val="24"/>
        </w:rPr>
        <w:t>- поточний ремонт Роздольненського сільського будинку культури,</w:t>
      </w:r>
    </w:p>
    <w:p>
      <w:pPr>
        <w:pStyle w:val="Normal"/>
        <w:spacing w:lineRule="auto" w:line="240" w:before="0" w:after="0"/>
        <w:ind w:left="142" w:hanging="142"/>
        <w:jc w:val="both"/>
        <w:rPr>
          <w:rFonts w:ascii="Times New Roman" w:hAnsi="Times New Roman" w:cs="Times New Roman"/>
          <w:sz w:val="24"/>
          <w:szCs w:val="24"/>
        </w:rPr>
      </w:pPr>
      <w:r>
        <w:rPr>
          <w:rFonts w:cs="Times New Roman" w:ascii="Times New Roman" w:hAnsi="Times New Roman"/>
          <w:sz w:val="24"/>
          <w:szCs w:val="24"/>
        </w:rPr>
        <w:t>- здійснення енергоефективних заходів сільського клубу в с.В.Україна,</w:t>
      </w:r>
    </w:p>
    <w:p>
      <w:pPr>
        <w:pStyle w:val="Normal"/>
        <w:spacing w:lineRule="auto" w:line="240" w:before="0" w:after="0"/>
        <w:ind w:left="142" w:hanging="142"/>
        <w:jc w:val="both"/>
        <w:rPr>
          <w:rFonts w:ascii="Times New Roman" w:hAnsi="Times New Roman" w:cs="Times New Roman"/>
          <w:sz w:val="24"/>
          <w:szCs w:val="24"/>
        </w:rPr>
      </w:pPr>
      <w:r>
        <w:rPr>
          <w:rFonts w:cs="Times New Roman" w:ascii="Times New Roman" w:hAnsi="Times New Roman"/>
          <w:sz w:val="24"/>
          <w:szCs w:val="24"/>
        </w:rPr>
        <w:t>- ремонт та благоустрій Чорноморівського сільського клубу,</w:t>
      </w:r>
    </w:p>
    <w:p>
      <w:pPr>
        <w:pStyle w:val="Normal"/>
        <w:spacing w:lineRule="auto" w:line="240" w:before="0" w:after="0"/>
        <w:ind w:left="142" w:hanging="142"/>
        <w:jc w:val="both"/>
        <w:rPr>
          <w:rFonts w:ascii="Times New Roman" w:hAnsi="Times New Roman" w:cs="Times New Roman"/>
          <w:sz w:val="24"/>
          <w:szCs w:val="24"/>
        </w:rPr>
      </w:pPr>
      <w:r>
        <w:rPr>
          <w:rFonts w:cs="Times New Roman" w:ascii="Times New Roman" w:hAnsi="Times New Roman"/>
          <w:sz w:val="24"/>
          <w:szCs w:val="24"/>
        </w:rPr>
        <w:t>- створення багатофункціонального Центру дозвілля для різних вікових груп в с.Коробки.</w:t>
      </w:r>
    </w:p>
    <w:p>
      <w:pPr>
        <w:pStyle w:val="Normal"/>
        <w:spacing w:lineRule="auto" w:line="240" w:before="0" w:after="0"/>
        <w:ind w:left="142" w:hanging="142"/>
        <w:jc w:val="both"/>
        <w:rPr>
          <w:rFonts w:ascii="Times New Roman" w:hAnsi="Times New Roman" w:cs="Times New Roman"/>
          <w:sz w:val="16"/>
          <w:szCs w:val="16"/>
        </w:rPr>
      </w:pPr>
      <w:r>
        <w:rPr>
          <w:rFonts w:cs="Times New Roman" w:ascii="Times New Roman" w:hAnsi="Times New Roman"/>
          <w:sz w:val="16"/>
          <w:szCs w:val="16"/>
        </w:rPr>
      </w:r>
    </w:p>
    <w:p>
      <w:pPr>
        <w:pStyle w:val="Normal"/>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t>Завдання 2.3.2. Сучасні культурні послуги</w:t>
      </w:r>
    </w:p>
    <w:p>
      <w:pPr>
        <w:pStyle w:val="Normal"/>
        <w:spacing w:lineRule="auto" w:line="240" w:before="0" w:after="0"/>
        <w:ind w:firstLine="708"/>
        <w:jc w:val="both"/>
        <w:rPr>
          <w:rFonts w:ascii="Times New Roman" w:hAnsi="Times New Roman" w:cs="Times New Roman"/>
          <w:sz w:val="24"/>
          <w:szCs w:val="24"/>
        </w:rPr>
      </w:pPr>
      <w:bookmarkStart w:id="121" w:name="_Hlk43478527"/>
      <w:bookmarkEnd w:id="121"/>
      <w:r>
        <w:rPr>
          <w:rFonts w:cs="Times New Roman" w:ascii="Times New Roman" w:hAnsi="Times New Roman"/>
          <w:sz w:val="24"/>
          <w:szCs w:val="24"/>
        </w:rPr>
        <w:t>На території громади проходить багато культурно-мистецьких заходів (фестивалів, етно-фестивалів, концертів, арт-майданчиків). Планується придбання комплекту вуличної мобільної збірно-розбірної сцени для культурно-мистецьких заходів, що надасть можливість проводити більшу кількість святкових та культурних заходів із залученням творчих місцевих та запрошених колективів на території громади та сприяти розвитку фестивального руху відповідно.</w:t>
      </w:r>
    </w:p>
    <w:p>
      <w:pPr>
        <w:pStyle w:val="Normal"/>
        <w:spacing w:lineRule="auto" w:line="240" w:before="0" w:after="0"/>
        <w:ind w:left="284" w:hanging="142"/>
        <w:jc w:val="both"/>
        <w:rPr>
          <w:rFonts w:ascii="Times New Roman" w:hAnsi="Times New Roman" w:cs="Times New Roman"/>
          <w:sz w:val="24"/>
          <w:szCs w:val="24"/>
        </w:rPr>
      </w:pPr>
      <w:r>
        <w:rPr>
          <w:rFonts w:cs="Times New Roman" w:ascii="Times New Roman" w:hAnsi="Times New Roman"/>
          <w:sz w:val="24"/>
          <w:szCs w:val="24"/>
        </w:rPr>
      </w:r>
    </w:p>
    <w:p>
      <w:pPr>
        <w:pStyle w:val="2"/>
        <w:spacing w:before="0" w:after="0"/>
        <w:ind w:left="2410" w:hanging="2410"/>
        <w:rPr>
          <w:rFonts w:ascii="Times New Roman" w:hAnsi="Times New Roman" w:cs="Times New Roman"/>
          <w:szCs w:val="24"/>
        </w:rPr>
      </w:pPr>
      <w:bookmarkStart w:id="122" w:name="_Toc84967190"/>
      <w:bookmarkEnd w:id="122"/>
      <w:r>
        <w:rPr>
          <w:rFonts w:cs="Times New Roman" w:ascii="Times New Roman" w:hAnsi="Times New Roman"/>
          <w:szCs w:val="24"/>
        </w:rPr>
        <w:t>Оперативна ціль 2.4. Створення умов для розвитку фізичної культури та спорту</w:t>
      </w:r>
    </w:p>
    <w:p>
      <w:pPr>
        <w:pStyle w:val="Normal"/>
        <w:spacing w:lineRule="auto" w:line="240" w:before="0" w:after="0"/>
        <w:jc w:val="both"/>
        <w:rPr>
          <w:rFonts w:ascii="Times New Roman" w:hAnsi="Times New Roman" w:cs="Times New Roman"/>
          <w:sz w:val="6"/>
          <w:szCs w:val="6"/>
        </w:rPr>
      </w:pPr>
      <w:r>
        <w:rPr>
          <w:rFonts w:cs="Times New Roman" w:ascii="Times New Roman" w:hAnsi="Times New Roman"/>
          <w:sz w:val="6"/>
          <w:szCs w:val="6"/>
        </w:rPr>
      </w:r>
    </w:p>
    <w:p>
      <w:pPr>
        <w:pStyle w:val="Normal"/>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t>Завдання 2.4.1. Розбудова сучасної та доступної фізкультурно-спортивної інфраструктури</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Фізична культура й спорт є невід’ємною частиною сучасного способу життя. В умовах сьогодення фізкультурно-спортивні послуги використовуються суспільством для різнобічного фізичного й духовного розвитку, зміцнення здоров’я, профілактики захворювань, формування здорового способу життя, продовження творчого довголіття, організації розумового й цікавого відпочинку населення.</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Визначальною для розвитку фізичної культури й спорту є спортивна інфраструктура, збереження та вдосконалення мережі якої є одним із пріоритетів в громаді. У цьому завданні заплановано цілу низку заходів та проєктів:</w:t>
      </w:r>
    </w:p>
    <w:p>
      <w:pPr>
        <w:pStyle w:val="Normal"/>
        <w:spacing w:lineRule="auto" w:line="240" w:before="0" w:after="0"/>
        <w:ind w:firstLine="142"/>
        <w:jc w:val="both"/>
        <w:rPr/>
      </w:pPr>
      <w:r>
        <w:rPr>
          <w:rFonts w:cs="Times New Roman" w:ascii="Times New Roman" w:hAnsi="Times New Roman"/>
          <w:sz w:val="24"/>
          <w:szCs w:val="24"/>
        </w:rPr>
        <w:t>- Реконструкція спортивного комбінату «Олімпійський».</w:t>
      </w:r>
    </w:p>
    <w:p>
      <w:pPr>
        <w:pStyle w:val="Normal"/>
        <w:spacing w:lineRule="auto" w:line="240" w:before="0" w:after="0"/>
        <w:ind w:firstLine="142"/>
        <w:jc w:val="both"/>
        <w:rPr>
          <w:rFonts w:ascii="Times New Roman" w:hAnsi="Times New Roman" w:cs="Times New Roman"/>
          <w:sz w:val="24"/>
          <w:szCs w:val="24"/>
        </w:rPr>
      </w:pPr>
      <w:r>
        <w:rPr>
          <w:rFonts w:cs="Times New Roman" w:ascii="Times New Roman" w:hAnsi="Times New Roman"/>
          <w:sz w:val="24"/>
          <w:szCs w:val="24"/>
        </w:rPr>
        <w:t>- Ремонт приміщень ДЮСШ в м.Каховка.</w:t>
      </w:r>
    </w:p>
    <w:p>
      <w:pPr>
        <w:pStyle w:val="Normal"/>
        <w:spacing w:lineRule="auto" w:line="240" w:before="0" w:after="0"/>
        <w:ind w:firstLine="142"/>
        <w:jc w:val="both"/>
        <w:rPr>
          <w:rFonts w:ascii="Times New Roman" w:hAnsi="Times New Roman" w:cs="Times New Roman"/>
          <w:sz w:val="24"/>
          <w:szCs w:val="24"/>
        </w:rPr>
      </w:pPr>
      <w:r>
        <w:rPr>
          <w:rFonts w:cs="Times New Roman" w:ascii="Times New Roman" w:hAnsi="Times New Roman"/>
          <w:sz w:val="24"/>
          <w:szCs w:val="24"/>
        </w:rPr>
        <w:t>- Будівництво багатофункціонального спортивного майданчика із штучним покриттям в селах громади: Малокаховка, Коробки.</w:t>
      </w:r>
    </w:p>
    <w:p>
      <w:pPr>
        <w:pStyle w:val="Normal"/>
        <w:spacing w:lineRule="auto" w:line="240" w:before="0" w:after="0"/>
        <w:ind w:firstLine="142"/>
        <w:jc w:val="both"/>
        <w:rPr>
          <w:rFonts w:ascii="Times New Roman" w:hAnsi="Times New Roman" w:cs="Times New Roman"/>
          <w:sz w:val="24"/>
          <w:szCs w:val="24"/>
        </w:rPr>
      </w:pPr>
      <w:r>
        <w:rPr>
          <w:rFonts w:cs="Times New Roman" w:ascii="Times New Roman" w:hAnsi="Times New Roman"/>
          <w:sz w:val="24"/>
          <w:szCs w:val="24"/>
        </w:rPr>
        <w:t>- Облаштування спортивного майданчику з вуличними тренажерам в с. Вільна Україна, с.Роздольне, с. Чорноморівка.</w:t>
      </w:r>
    </w:p>
    <w:p>
      <w:pPr>
        <w:pStyle w:val="Normal"/>
        <w:spacing w:lineRule="auto" w:line="240" w:before="0" w:after="0"/>
        <w:ind w:left="142" w:hanging="142"/>
        <w:jc w:val="both"/>
        <w:rPr>
          <w:rFonts w:ascii="Times New Roman" w:hAnsi="Times New Roman" w:cs="Times New Roman"/>
          <w:sz w:val="16"/>
          <w:szCs w:val="16"/>
        </w:rPr>
      </w:pPr>
      <w:r>
        <w:rPr>
          <w:rFonts w:cs="Times New Roman" w:ascii="Times New Roman" w:hAnsi="Times New Roman"/>
          <w:sz w:val="16"/>
          <w:szCs w:val="16"/>
        </w:rPr>
      </w:r>
    </w:p>
    <w:p>
      <w:pPr>
        <w:pStyle w:val="Normal"/>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t>Завдання 2.4.2. Підтримка всіх напрямків спорту та масової фізичної культури</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Розроблення Програми розвитку фізичної культури і спорту в Каховській ТГ на 2023-2027 роки викликано необхідністю вирішення на рівні громади проблемних питань у сфері фізичної культури та спорту, як важливого чинника для розвитку фізично здорових людей, їх тривалої працездатності та зміцнення іміджу Каховської ТГ на обласному та всеукраїнському рівні.</w:t>
      </w:r>
    </w:p>
    <w:p>
      <w:pPr>
        <w:pStyle w:val="Normal"/>
        <w:spacing w:lineRule="auto" w:line="240" w:before="0" w:after="0"/>
        <w:ind w:left="284" w:hanging="142"/>
        <w:jc w:val="both"/>
        <w:rPr>
          <w:rFonts w:ascii="Times New Roman" w:hAnsi="Times New Roman" w:cs="Times New Roman"/>
          <w:sz w:val="24"/>
          <w:szCs w:val="24"/>
        </w:rPr>
      </w:pPr>
      <w:r>
        <w:rPr>
          <w:rFonts w:cs="Times New Roman" w:ascii="Times New Roman" w:hAnsi="Times New Roman"/>
          <w:sz w:val="24"/>
          <w:szCs w:val="24"/>
        </w:rPr>
      </w:r>
    </w:p>
    <w:p>
      <w:pPr>
        <w:pStyle w:val="2"/>
        <w:spacing w:before="0" w:after="0"/>
        <w:ind w:left="2410" w:hanging="2410"/>
        <w:rPr>
          <w:rFonts w:ascii="Times New Roman" w:hAnsi="Times New Roman" w:cs="Times New Roman"/>
          <w:szCs w:val="24"/>
        </w:rPr>
      </w:pPr>
      <w:bookmarkStart w:id="123" w:name="_Toc84967191"/>
      <w:bookmarkEnd w:id="123"/>
      <w:r>
        <w:rPr>
          <w:rFonts w:cs="Times New Roman" w:ascii="Times New Roman" w:hAnsi="Times New Roman"/>
          <w:szCs w:val="24"/>
        </w:rPr>
        <w:t>Оперативна ціль 2.5. Активна участь мешканців у житті громади та соціальні послуги</w:t>
      </w:r>
    </w:p>
    <w:p>
      <w:pPr>
        <w:pStyle w:val="Normal"/>
        <w:spacing w:lineRule="auto" w:line="240" w:before="0" w:after="0"/>
        <w:jc w:val="both"/>
        <w:rPr>
          <w:rFonts w:ascii="Times New Roman" w:hAnsi="Times New Roman" w:cs="Times New Roman"/>
          <w:sz w:val="6"/>
          <w:szCs w:val="6"/>
        </w:rPr>
      </w:pPr>
      <w:r>
        <w:rPr>
          <w:rFonts w:cs="Times New Roman" w:ascii="Times New Roman" w:hAnsi="Times New Roman"/>
          <w:sz w:val="6"/>
          <w:szCs w:val="6"/>
        </w:rPr>
      </w:r>
    </w:p>
    <w:p>
      <w:pPr>
        <w:pStyle w:val="Normal"/>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t>Завдання 2.5.1. Створення молодіжної інфраструктури</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Каховська міська територіальна громада - новостворена громада, у якій існує реальна потреба у місцях, де громадяни та молодь, зокрема, можуть культурно провести дозвілля та отримувати нові знання безкоштовно. Каховка має успішний досвід роботи представників влади з молодіжними громадськими організаціями, є проєкти ГО та МГО, які отримали фінансову підтримку з місцевого бюджету. Але більшість організацій не має власного приміщення для проведення тренінгів/семінарів/обміну досвідом/написання проєктів/просто спілкування. Тому є велика потреба у створенні Молодіжного центру, як простору для культурного і водночас неформального дозвілля молоді, як “майданчика для генерування ідей”.</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Окрім приміщення молодіжного центру, планується створити вуличний простір, який буде активно використовується молодими людьми (що також особливо актуально під час карантинних обмежень, коли більшість масових заходів мають відбуватися на свіжому повітрі).</w:t>
      </w:r>
    </w:p>
    <w:p>
      <w:pPr>
        <w:pStyle w:val="Normal"/>
        <w:spacing w:lineRule="auto" w:line="240" w:before="0" w:after="0"/>
        <w:ind w:left="142" w:hanging="142"/>
        <w:jc w:val="both"/>
        <w:rPr>
          <w:rFonts w:ascii="Times New Roman" w:hAnsi="Times New Roman" w:cs="Times New Roman"/>
          <w:sz w:val="16"/>
          <w:szCs w:val="16"/>
        </w:rPr>
      </w:pPr>
      <w:r>
        <w:rPr>
          <w:rFonts w:cs="Times New Roman" w:ascii="Times New Roman" w:hAnsi="Times New Roman"/>
          <w:sz w:val="16"/>
          <w:szCs w:val="16"/>
        </w:rPr>
      </w:r>
    </w:p>
    <w:p>
      <w:pPr>
        <w:pStyle w:val="Normal"/>
        <w:spacing w:lineRule="auto" w:line="240" w:before="0" w:after="0"/>
        <w:ind w:left="1701" w:hanging="1701"/>
        <w:jc w:val="both"/>
        <w:rPr>
          <w:rFonts w:ascii="Times New Roman" w:hAnsi="Times New Roman" w:cs="Times New Roman"/>
          <w:b/>
          <w:b/>
          <w:sz w:val="24"/>
          <w:szCs w:val="24"/>
        </w:rPr>
      </w:pPr>
      <w:r>
        <w:rPr>
          <w:rFonts w:cs="Times New Roman" w:ascii="Times New Roman" w:hAnsi="Times New Roman"/>
          <w:b/>
          <w:sz w:val="24"/>
          <w:szCs w:val="24"/>
        </w:rPr>
        <w:t>Завдання 2.5.2. Залучення молоді до впровадження грантових, регіональних та місцевих програм</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Проєкти та програми цього завдання спрямовано на розвиток громадської активності молоді, захисту соціальних прав та інтересів дітей та молоді, поліпшення соціально-економічних і побутових умов життя молодих громадян, розвитку їх громадянської та трудової активності, формування духовної культури.</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Рушіями змін у Каховській громаді мають стати участь у різних проєктах програми “Мріємо та діємо” для підлітків та молоді, де молодіжні команди громади зможуть взяти участь у активностях не лише у Каховці, а й по всій Україні, розроблятимуть власні проєкти та отримають можливість залучити фінансування та менторську підтримку на їхнє впровадження.</w:t>
      </w:r>
    </w:p>
    <w:p>
      <w:pPr>
        <w:pStyle w:val="Normal"/>
        <w:spacing w:lineRule="auto" w:line="240" w:before="0" w:after="0"/>
        <w:ind w:left="142" w:hanging="142"/>
        <w:jc w:val="both"/>
        <w:rPr>
          <w:rFonts w:ascii="Times New Roman" w:hAnsi="Times New Roman" w:cs="Times New Roman"/>
          <w:sz w:val="16"/>
          <w:szCs w:val="16"/>
        </w:rPr>
      </w:pPr>
      <w:r>
        <w:rPr>
          <w:rFonts w:cs="Times New Roman" w:ascii="Times New Roman" w:hAnsi="Times New Roman"/>
          <w:sz w:val="16"/>
          <w:szCs w:val="16"/>
        </w:rPr>
      </w:r>
    </w:p>
    <w:p>
      <w:pPr>
        <w:pStyle w:val="Normal"/>
        <w:spacing w:lineRule="auto" w:line="240" w:before="0" w:after="0"/>
        <w:ind w:left="1701" w:hanging="1701"/>
        <w:jc w:val="both"/>
        <w:rPr>
          <w:rFonts w:ascii="Times New Roman" w:hAnsi="Times New Roman" w:cs="Times New Roman"/>
          <w:b/>
          <w:b/>
          <w:sz w:val="24"/>
          <w:szCs w:val="24"/>
        </w:rPr>
      </w:pPr>
      <w:r>
        <w:rPr>
          <w:rFonts w:cs="Times New Roman" w:ascii="Times New Roman" w:hAnsi="Times New Roman"/>
          <w:b/>
          <w:sz w:val="24"/>
          <w:szCs w:val="24"/>
        </w:rPr>
        <w:t>Завдання 2.5.3 Сучасні інструменти громадської участі</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Проведення публічних консультацій є запорукою ефективного діалогу між місцевою владою та громадськістю. Саме така форма комунікації надає можливість почути та врахувати думку тих, на кого безпосередньо впливають рішення місцевої влади.</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Маючи досвід у проведенні та реалізації проєктів бюджету участі, Каховська громада планує й надалі впроваджувати цей досвід, що надасть можливість кожному громадянину брати участь в розподілі коштів місцевого бюджету через створення проектів для покращення громади або голосувати за них та спостерігати за їх реалізацією.</w:t>
      </w:r>
    </w:p>
    <w:p>
      <w:pPr>
        <w:pStyle w:val="Normal"/>
        <w:spacing w:lineRule="auto" w:line="240" w:before="0" w:after="0"/>
        <w:ind w:left="1701" w:hanging="1701"/>
        <w:jc w:val="both"/>
        <w:rPr>
          <w:rFonts w:ascii="Times New Roman" w:hAnsi="Times New Roman" w:cs="Times New Roman"/>
          <w:b/>
          <w:b/>
          <w:sz w:val="24"/>
          <w:szCs w:val="24"/>
        </w:rPr>
      </w:pPr>
      <w:r>
        <w:rPr>
          <w:rFonts w:cs="Times New Roman" w:ascii="Times New Roman" w:hAnsi="Times New Roman"/>
          <w:b/>
          <w:sz w:val="24"/>
          <w:szCs w:val="24"/>
        </w:rPr>
        <w:t>Завдання 2.5.4 Підвищення якості соціальних послуг</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На ближчу перспективу передбачено фінансування послуги “Компенсація фізичним особам, які надають соціальні послуги з догляду на непрофесійній основі”.</w:t>
      </w:r>
    </w:p>
    <w:p>
      <w:pPr>
        <w:pStyle w:val="Normal"/>
        <w:spacing w:lineRule="auto" w:line="240" w:before="0" w:after="0"/>
        <w:ind w:left="284" w:hanging="142"/>
        <w:jc w:val="both"/>
        <w:rPr>
          <w:rFonts w:ascii="Times New Roman" w:hAnsi="Times New Roman" w:cs="Times New Roman"/>
          <w:sz w:val="24"/>
          <w:szCs w:val="24"/>
        </w:rPr>
      </w:pPr>
      <w:r>
        <w:rPr>
          <w:rFonts w:cs="Times New Roman" w:ascii="Times New Roman" w:hAnsi="Times New Roman"/>
          <w:sz w:val="24"/>
          <w:szCs w:val="24"/>
        </w:rPr>
      </w:r>
    </w:p>
    <w:p>
      <w:pPr>
        <w:pStyle w:val="1"/>
        <w:pageBreakBefore w:val="false"/>
        <w:shd w:val="clear" w:color="auto" w:fill="61BBFF"/>
        <w:tabs>
          <w:tab w:val="left" w:pos="284" w:leader="none"/>
          <w:tab w:val="left" w:pos="567" w:leader="none"/>
        </w:tabs>
        <w:spacing w:lineRule="auto" w:line="240" w:before="0" w:after="0"/>
        <w:rPr>
          <w:rFonts w:ascii="Times New Roman" w:hAnsi="Times New Roman" w:cs="Times New Roman"/>
          <w:sz w:val="26"/>
          <w:szCs w:val="26"/>
        </w:rPr>
      </w:pPr>
      <w:bookmarkStart w:id="124" w:name="_Toc84967192"/>
      <w:bookmarkEnd w:id="124"/>
      <w:r>
        <w:rPr>
          <w:rFonts w:cs="Times New Roman" w:ascii="Times New Roman" w:hAnsi="Times New Roman"/>
          <w:sz w:val="26"/>
          <w:szCs w:val="26"/>
        </w:rPr>
        <w:t>Стратегічна ціль 3. Висока якість життя та послуг для мешканців громади</w:t>
      </w:r>
    </w:p>
    <w:p>
      <w:pPr>
        <w:pStyle w:val="Normal"/>
        <w:shd w:val="clear" w:color="auto" w:fill="61BBFF"/>
        <w:spacing w:before="0" w:after="0"/>
        <w:rPr>
          <w:rFonts w:ascii="Times New Roman" w:hAnsi="Times New Roman" w:cs="Times New Roman"/>
        </w:rPr>
      </w:pPr>
      <w:r>
        <w:rPr>
          <w:rFonts w:cs="Times New Roman" w:ascii="Times New Roman" w:hAnsi="Times New Roman"/>
        </w:rPr>
      </w:r>
    </w:p>
    <w:p>
      <w:pPr>
        <w:pStyle w:val="Normal"/>
        <w:spacing w:lineRule="auto" w:line="240" w:before="0" w:after="120"/>
        <w:ind w:firstLine="708"/>
        <w:jc w:val="both"/>
        <w:rPr>
          <w:rFonts w:ascii="Times New Roman" w:hAnsi="Times New Roman" w:cs="Times New Roman"/>
          <w:sz w:val="24"/>
          <w:szCs w:val="24"/>
        </w:rPr>
      </w:pPr>
      <w:r>
        <w:rPr>
          <w:rFonts w:cs="Times New Roman" w:ascii="Times New Roman" w:hAnsi="Times New Roman"/>
          <w:sz w:val="24"/>
          <w:szCs w:val="24"/>
        </w:rPr>
        <w:t xml:space="preserve">У конкуренції за головний ресурс громади – людину, мешканця, працівника - кращі позиції мають громади, які пропонують своїм мешканцям комфортні та безпечні умови проживання, зручні та доступні послуги – усе що стосується якості життя та рівня комфорту проживання у своєму населеному пункті. </w:t>
      </w:r>
    </w:p>
    <w:p>
      <w:pPr>
        <w:pStyle w:val="Normal"/>
        <w:spacing w:lineRule="auto" w:line="240" w:before="0" w:after="120"/>
        <w:ind w:firstLine="708"/>
        <w:jc w:val="both"/>
        <w:rPr>
          <w:rFonts w:ascii="Times New Roman" w:hAnsi="Times New Roman" w:cs="Times New Roman"/>
          <w:sz w:val="24"/>
          <w:szCs w:val="24"/>
        </w:rPr>
      </w:pPr>
      <w:r>
        <w:rPr>
          <w:rFonts w:cs="Times New Roman" w:ascii="Times New Roman" w:hAnsi="Times New Roman"/>
          <w:sz w:val="24"/>
          <w:szCs w:val="24"/>
        </w:rPr>
        <w:t xml:space="preserve">Каховська громада налаштована якісно покращити умови життя своїх мешканців, вирівняти певну диспропорцію між населеними пунктами, перебороти тенденцію відтоку молоді до великих міст, запропонувавши альтернативу високих стандартів якості життя у населених пунктах громади. Серйозність прагнень до відчутних позитивних змін підтверджується </w:t>
      </w:r>
      <w:r>
        <w:rPr>
          <w:rFonts w:eastAsia="Arial" w:cs="Times New Roman" w:ascii="Times New Roman" w:hAnsi="Times New Roman"/>
          <w:sz w:val="24"/>
          <w:szCs w:val="24"/>
        </w:rPr>
        <w:t>кількістю запланованих проектів та розміром призначених ресурсів на їх впровадження</w:t>
      </w:r>
    </w:p>
    <w:p>
      <w:pPr>
        <w:pStyle w:val="Normal"/>
        <w:spacing w:lineRule="auto" w:line="240" w:before="0" w:after="120"/>
        <w:ind w:firstLine="709"/>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Діяльність у межах Стратегічної цілі 3 повністю узгоджується з завданнями </w:t>
      </w:r>
      <w:r>
        <w:rPr>
          <w:rFonts w:eastAsia="Calibri" w:cs="Times New Roman" w:ascii="Times New Roman" w:hAnsi="Times New Roman"/>
          <w:color w:val="000000"/>
          <w:sz w:val="24"/>
          <w:szCs w:val="24"/>
        </w:rPr>
        <w:t>Стратегії розвитку Херсонської області на період 2020 – 2027 років. Зокрема, у контексті</w:t>
      </w:r>
      <w:r>
        <w:rPr>
          <w:rFonts w:eastAsia="Calibri" w:cs="Times New Roman" w:ascii="Times New Roman" w:hAnsi="Times New Roman"/>
          <w:sz w:val="24"/>
          <w:szCs w:val="24"/>
        </w:rPr>
        <w:t xml:space="preserve"> операційних цілей 1.4. Розвиток транспортної інфраструктури та сполучення, 2.3. Створення комфортних умов для проживання населення, 3.2. Покращення управління відходами та 3.3. Енергетично безпечна територія.</w:t>
      </w:r>
    </w:p>
    <w:p>
      <w:pPr>
        <w:pStyle w:val="Normal"/>
        <w:spacing w:lineRule="auto" w:line="240" w:before="0" w:after="120"/>
        <w:ind w:firstLine="708"/>
        <w:jc w:val="both"/>
        <w:rPr>
          <w:rFonts w:ascii="Times New Roman" w:hAnsi="Times New Roman" w:cs="Times New Roman"/>
          <w:sz w:val="24"/>
          <w:szCs w:val="24"/>
        </w:rPr>
      </w:pPr>
      <w:r>
        <w:rPr>
          <w:rFonts w:cs="Times New Roman" w:ascii="Times New Roman" w:hAnsi="Times New Roman"/>
          <w:sz w:val="24"/>
          <w:szCs w:val="24"/>
        </w:rPr>
        <w:t>Досягнення Стратегічної цілі 3 пропонується через наступну структуру оперативних цілей та завдань.</w:t>
      </w:r>
    </w:p>
    <w:p>
      <w:pPr>
        <w:pStyle w:val="2"/>
        <w:spacing w:before="0" w:after="0"/>
        <w:ind w:left="2410" w:hanging="2410"/>
        <w:rPr>
          <w:rFonts w:ascii="Times New Roman" w:hAnsi="Times New Roman" w:cs="Times New Roman"/>
        </w:rPr>
      </w:pPr>
      <w:bookmarkStart w:id="125" w:name="_Toc84967193"/>
      <w:r>
        <w:rPr>
          <w:rFonts w:cs="Times New Roman" w:ascii="Times New Roman" w:hAnsi="Times New Roman"/>
        </w:rPr>
        <w:t xml:space="preserve">Оперативна ціль 3.1. </w:t>
      </w:r>
      <w:bookmarkEnd w:id="125"/>
      <w:r>
        <w:rPr>
          <w:rFonts w:eastAsia="Calibri" w:cs="Times New Roman" w:ascii="Times New Roman" w:hAnsi="Times New Roman"/>
          <w:szCs w:val="24"/>
        </w:rPr>
        <w:t>Безпека громади і комфорт мешканців</w:t>
      </w:r>
    </w:p>
    <w:p>
      <w:pPr>
        <w:pStyle w:val="Normal"/>
        <w:spacing w:lineRule="auto" w:line="240" w:before="0" w:after="0"/>
        <w:jc w:val="both"/>
        <w:rPr>
          <w:rFonts w:ascii="Times New Roman" w:hAnsi="Times New Roman" w:cs="Times New Roman"/>
          <w:b/>
          <w:b/>
          <w:sz w:val="6"/>
          <w:szCs w:val="6"/>
        </w:rPr>
      </w:pPr>
      <w:r>
        <w:rPr>
          <w:rFonts w:cs="Times New Roman" w:ascii="Times New Roman" w:hAnsi="Times New Roman"/>
          <w:b/>
          <w:sz w:val="6"/>
          <w:szCs w:val="6"/>
        </w:rPr>
      </w:r>
    </w:p>
    <w:p>
      <w:pPr>
        <w:pStyle w:val="Normal"/>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t>Завдання 3.1.1. Доступність та інклюзивність</w:t>
      </w:r>
    </w:p>
    <w:p>
      <w:pPr>
        <w:pStyle w:val="Normal"/>
        <w:spacing w:lineRule="auto" w:line="240" w:before="0" w:after="0"/>
        <w:ind w:firstLine="708"/>
        <w:jc w:val="both"/>
        <w:rPr>
          <w:rFonts w:ascii="Times New Roman" w:hAnsi="Times New Roman" w:cs="Times New Roman"/>
          <w:bCs/>
          <w:sz w:val="24"/>
          <w:szCs w:val="24"/>
        </w:rPr>
      </w:pPr>
      <w:bookmarkStart w:id="126" w:name="_Hlk43482589"/>
      <w:bookmarkEnd w:id="126"/>
      <w:r>
        <w:rPr>
          <w:rFonts w:cs="Times New Roman" w:ascii="Times New Roman" w:hAnsi="Times New Roman"/>
          <w:bCs/>
          <w:sz w:val="24"/>
          <w:szCs w:val="24"/>
        </w:rPr>
        <w:t>Досягнення результатів цього завдання у ближчій перспективі планується через проведення ремонтних робіт, з улаштуванням пандусів у закладах освіти, які забезпечать безпечний доступ до будівлі закладу людей з особливими потребами, зокрема облицювання шкільного порогу та встановлення поручнів в Чорноморівській гімназії.</w:t>
      </w:r>
    </w:p>
    <w:p>
      <w:pPr>
        <w:pStyle w:val="Normal"/>
        <w:spacing w:lineRule="auto" w:line="240" w:before="0" w:after="0"/>
        <w:jc w:val="both"/>
        <w:rPr>
          <w:rFonts w:ascii="Times New Roman" w:hAnsi="Times New Roman" w:cs="Times New Roman"/>
          <w:sz w:val="16"/>
          <w:szCs w:val="16"/>
        </w:rPr>
      </w:pPr>
      <w:r>
        <w:rPr>
          <w:rFonts w:cs="Times New Roman" w:ascii="Times New Roman" w:hAnsi="Times New Roman"/>
          <w:sz w:val="16"/>
          <w:szCs w:val="16"/>
        </w:rPr>
      </w:r>
    </w:p>
    <w:p>
      <w:pPr>
        <w:pStyle w:val="Normal"/>
        <w:spacing w:lineRule="auto" w:line="240" w:before="0" w:after="0"/>
        <w:ind w:left="1843" w:hanging="1843"/>
        <w:jc w:val="both"/>
        <w:rPr/>
      </w:pPr>
      <w:r>
        <w:rPr>
          <w:rFonts w:cs="Times New Roman" w:ascii="Times New Roman" w:hAnsi="Times New Roman"/>
          <w:b/>
          <w:sz w:val="24"/>
          <w:szCs w:val="24"/>
        </w:rPr>
        <w:t xml:space="preserve">Завдання 3.1.2. </w:t>
      </w:r>
      <w:r>
        <w:rPr>
          <w:rFonts w:eastAsia="Calibri" w:cs="Times New Roman" w:ascii="Times New Roman" w:hAnsi="Times New Roman"/>
          <w:b/>
          <w:color w:val="00000A"/>
          <w:sz w:val="24"/>
          <w:szCs w:val="24"/>
          <w:highlight w:val="white"/>
        </w:rPr>
        <w:t>Підвищення безпеки мешканців громади</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 xml:space="preserve">Питання безпеки життєдіяльності жителів та гостей громади є одним з найважливішим для органів місцевого самоврядування, територіальних органів виконавчої влади та органів внутрішніх справ. Для попередження, припинення й ліквідації кризових ситуацій криміногенного, терористичного, природного й техногенного характеру, антитерористичного захисту, убезпечення й правопорядку у громаді створено систему відеоспостереження. </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Програма “Безпечне місто” спрямована на реалізацію пріоритетних напрямків діяльності органів місцевого самоврядування у сфері забезпечення національної безпеки, законності, правопорядку, охорони прав, свобод і законних інтересів громадян, підвищення рівня цивільного захисту населення громади, а також підвищення рівня безпеки функціонування та розвиток вулиць і доріг громади.</w:t>
      </w:r>
    </w:p>
    <w:p>
      <w:pPr>
        <w:pStyle w:val="Normal"/>
        <w:spacing w:lineRule="auto" w:line="240" w:before="0" w:after="0"/>
        <w:ind w:firstLine="708"/>
        <w:jc w:val="both"/>
        <w:rPr>
          <w:rFonts w:ascii="Times New Roman" w:hAnsi="Times New Roman" w:cs="Times New Roman"/>
          <w:sz w:val="24"/>
          <w:szCs w:val="24"/>
        </w:rPr>
      </w:pPr>
      <w:bookmarkStart w:id="127" w:name="_Hlk43478211"/>
      <w:bookmarkEnd w:id="127"/>
      <w:r>
        <w:rPr>
          <w:rFonts w:cs="Times New Roman" w:ascii="Times New Roman" w:hAnsi="Times New Roman"/>
          <w:sz w:val="24"/>
          <w:szCs w:val="24"/>
        </w:rPr>
        <w:t>Проектом передбачається охоплення цілодобовим контролем додаткової території Каховської ТГ з встановленням додаткових камер відеонагляду.(23 шт).</w:t>
      </w:r>
    </w:p>
    <w:p>
      <w:pPr>
        <w:pStyle w:val="Normal"/>
        <w:spacing w:lineRule="auto" w:line="240" w:before="0" w:after="0"/>
        <w:jc w:val="both"/>
        <w:rPr>
          <w:rFonts w:ascii="Times New Roman" w:hAnsi="Times New Roman" w:cs="Times New Roman"/>
          <w:sz w:val="16"/>
          <w:szCs w:val="16"/>
        </w:rPr>
      </w:pPr>
      <w:r>
        <w:rPr>
          <w:rFonts w:cs="Times New Roman" w:ascii="Times New Roman" w:hAnsi="Times New Roman"/>
          <w:sz w:val="16"/>
          <w:szCs w:val="16"/>
        </w:rPr>
      </w:r>
    </w:p>
    <w:p>
      <w:pPr>
        <w:pStyle w:val="Normal"/>
        <w:spacing w:lineRule="auto" w:line="240" w:before="0" w:after="0"/>
        <w:ind w:left="1843" w:hanging="1843"/>
        <w:jc w:val="both"/>
        <w:rPr>
          <w:rFonts w:ascii="Times New Roman" w:hAnsi="Times New Roman" w:cs="Times New Roman"/>
          <w:b/>
          <w:b/>
          <w:sz w:val="24"/>
          <w:szCs w:val="24"/>
        </w:rPr>
      </w:pPr>
      <w:r>
        <w:rPr>
          <w:rFonts w:cs="Times New Roman" w:ascii="Times New Roman" w:hAnsi="Times New Roman"/>
          <w:b/>
          <w:sz w:val="24"/>
          <w:szCs w:val="24"/>
        </w:rPr>
        <w:t>Завдання 3.1.3. Благоустрій населених пунктів, розвиток інфраструктури відпочинку і дозвілля</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Питання благоустрою є невід’ємною частиною якості життя, зовнішнім показником кожного населеного пункту. Каховською громадою передбачаються такі заходи з благоустрою:</w:t>
      </w:r>
    </w:p>
    <w:p>
      <w:pPr>
        <w:pStyle w:val="Normal"/>
        <w:spacing w:lineRule="auto" w:line="240" w:before="0" w:after="0"/>
        <w:ind w:left="284" w:hanging="284"/>
        <w:jc w:val="both"/>
        <w:rPr>
          <w:rFonts w:ascii="Times New Roman" w:hAnsi="Times New Roman" w:cs="Times New Roman"/>
          <w:sz w:val="24"/>
          <w:szCs w:val="24"/>
        </w:rPr>
      </w:pPr>
      <w:r>
        <w:rPr>
          <w:rFonts w:cs="Times New Roman" w:ascii="Times New Roman" w:hAnsi="Times New Roman"/>
          <w:sz w:val="24"/>
          <w:szCs w:val="24"/>
        </w:rPr>
        <w:t>- Регламентні роботи по обстеженню та ремонту трансформаторів в с.Роздольне».</w:t>
      </w:r>
    </w:p>
    <w:p>
      <w:pPr>
        <w:pStyle w:val="Normal"/>
        <w:spacing w:lineRule="auto" w:line="240" w:before="0" w:after="0"/>
        <w:ind w:left="284" w:hanging="284"/>
        <w:jc w:val="both"/>
        <w:rPr>
          <w:rFonts w:ascii="Times New Roman" w:hAnsi="Times New Roman" w:cs="Times New Roman"/>
          <w:sz w:val="24"/>
          <w:szCs w:val="24"/>
        </w:rPr>
      </w:pPr>
      <w:r>
        <w:rPr>
          <w:rFonts w:cs="Times New Roman" w:ascii="Times New Roman" w:hAnsi="Times New Roman"/>
          <w:sz w:val="24"/>
          <w:szCs w:val="24"/>
        </w:rPr>
        <w:t>- Освітлення вулиць в с.Коробки, с.Чорноморівка, с. Роздольне.</w:t>
      </w:r>
    </w:p>
    <w:p>
      <w:pPr>
        <w:pStyle w:val="Normal"/>
        <w:spacing w:lineRule="auto" w:line="240" w:before="0" w:after="0"/>
        <w:ind w:left="284" w:hanging="284"/>
        <w:jc w:val="both"/>
        <w:rPr>
          <w:rFonts w:ascii="Times New Roman" w:hAnsi="Times New Roman" w:cs="Times New Roman"/>
          <w:sz w:val="24"/>
          <w:szCs w:val="24"/>
        </w:rPr>
      </w:pPr>
      <w:r>
        <w:rPr>
          <w:rFonts w:cs="Times New Roman" w:ascii="Times New Roman" w:hAnsi="Times New Roman"/>
          <w:sz w:val="24"/>
          <w:szCs w:val="24"/>
        </w:rPr>
        <w:t>- Встановлення громадських вбиралень по територіальній громаді (місто Каховка та старостати).</w:t>
      </w:r>
    </w:p>
    <w:p>
      <w:pPr>
        <w:pStyle w:val="Normal"/>
        <w:spacing w:lineRule="auto" w:line="240" w:before="0" w:after="0"/>
        <w:ind w:left="284" w:hanging="284"/>
        <w:jc w:val="both"/>
        <w:rPr>
          <w:rFonts w:ascii="Times New Roman" w:hAnsi="Times New Roman" w:cs="Times New Roman"/>
          <w:sz w:val="24"/>
          <w:szCs w:val="24"/>
        </w:rPr>
      </w:pPr>
      <w:r>
        <w:rPr>
          <w:rFonts w:cs="Times New Roman" w:ascii="Times New Roman" w:hAnsi="Times New Roman"/>
          <w:sz w:val="24"/>
          <w:szCs w:val="24"/>
        </w:rPr>
        <w:t>- Оновлення експертних звітів по об’єктах: (проекту Реконструкція парку Слави в м. Каховка, реконструкція вул. Миру, проекту Реконструкція площі біля МПК Меліоратор" в м. Каховка).</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2"/>
        <w:spacing w:before="0" w:after="0"/>
        <w:ind w:left="2410" w:hanging="2410"/>
        <w:rPr>
          <w:rFonts w:ascii="Times New Roman" w:hAnsi="Times New Roman" w:cs="Times New Roman"/>
        </w:rPr>
      </w:pPr>
      <w:bookmarkStart w:id="128" w:name="_Toc84967194"/>
      <w:bookmarkEnd w:id="128"/>
      <w:r>
        <w:rPr>
          <w:rFonts w:cs="Times New Roman" w:ascii="Times New Roman" w:hAnsi="Times New Roman"/>
        </w:rPr>
        <w:t>Оперативна ціль 3.2. Комунальне господарство та екологія</w:t>
      </w:r>
    </w:p>
    <w:p>
      <w:pPr>
        <w:pStyle w:val="Normal"/>
        <w:spacing w:lineRule="auto" w:line="240" w:before="0" w:after="0"/>
        <w:ind w:firstLine="709"/>
        <w:jc w:val="both"/>
        <w:rPr>
          <w:rFonts w:ascii="Times New Roman" w:hAnsi="Times New Roman" w:cs="Times New Roman"/>
          <w:sz w:val="6"/>
          <w:szCs w:val="6"/>
        </w:rPr>
      </w:pPr>
      <w:r>
        <w:rPr>
          <w:rFonts w:cs="Times New Roman" w:ascii="Times New Roman" w:hAnsi="Times New Roman"/>
          <w:sz w:val="6"/>
          <w:szCs w:val="6"/>
        </w:rPr>
      </w:r>
    </w:p>
    <w:p>
      <w:pPr>
        <w:pStyle w:val="Normal"/>
        <w:spacing w:lineRule="auto" w:line="240" w:before="0" w:after="0"/>
        <w:ind w:left="1843" w:hanging="1843"/>
        <w:jc w:val="both"/>
        <w:rPr>
          <w:rFonts w:ascii="Times New Roman" w:hAnsi="Times New Roman" w:cs="Times New Roman"/>
          <w:b/>
          <w:b/>
          <w:sz w:val="24"/>
          <w:szCs w:val="24"/>
        </w:rPr>
      </w:pPr>
      <w:r>
        <w:rPr>
          <w:rFonts w:cs="Times New Roman" w:ascii="Times New Roman" w:hAnsi="Times New Roman"/>
          <w:b/>
          <w:sz w:val="24"/>
          <w:szCs w:val="24"/>
        </w:rPr>
        <w:t>Завдання 3.2.1. Утримання комунальних будівель, водопостачання та водовідведення у населених пунктах громади</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t>Впровадження програми енергоменеджменту надасть можливість скоротити споживання енергетичних ресурсів, покращити стан житлового фонду громади та матиме вплив на навколишнє середовище, доходи громади та економічний розвиток.</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t>Якісне водопостачання та водовідведення впливають не лише на рівень комфорту, а й на здоров’я мешканців. Саме тому, виконання цього завдання є у пріоритеті та передбачає такі комплексні заходи:</w:t>
      </w:r>
    </w:p>
    <w:p>
      <w:pPr>
        <w:pStyle w:val="Normal"/>
        <w:spacing w:lineRule="auto" w:line="240" w:before="0" w:after="0"/>
        <w:ind w:left="284" w:hanging="142"/>
        <w:jc w:val="both"/>
        <w:rPr>
          <w:rFonts w:ascii="Times New Roman" w:hAnsi="Times New Roman" w:cs="Times New Roman"/>
          <w:sz w:val="24"/>
          <w:szCs w:val="24"/>
        </w:rPr>
      </w:pPr>
      <w:r>
        <w:rPr>
          <w:rFonts w:cs="Times New Roman" w:ascii="Times New Roman" w:hAnsi="Times New Roman"/>
          <w:sz w:val="24"/>
          <w:szCs w:val="24"/>
        </w:rPr>
        <w:t>- Капітальний ремонт башти Рожновського та оновлення цілодобового водопостачання у с.Коробки.</w:t>
      </w:r>
    </w:p>
    <w:p>
      <w:pPr>
        <w:pStyle w:val="Normal"/>
        <w:spacing w:lineRule="auto" w:line="240" w:before="0" w:after="0"/>
        <w:ind w:left="284" w:hanging="142"/>
        <w:jc w:val="both"/>
        <w:rPr>
          <w:rFonts w:ascii="Times New Roman" w:hAnsi="Times New Roman" w:cs="Times New Roman"/>
          <w:sz w:val="24"/>
          <w:szCs w:val="24"/>
        </w:rPr>
      </w:pPr>
      <w:r>
        <w:rPr>
          <w:rFonts w:cs="Times New Roman" w:ascii="Times New Roman" w:hAnsi="Times New Roman"/>
          <w:sz w:val="24"/>
          <w:szCs w:val="24"/>
        </w:rPr>
        <w:t>- Капітальний ремонт системи каналізації з автономними очисними спорудами в с. Роздольне.</w:t>
      </w:r>
    </w:p>
    <w:p>
      <w:pPr>
        <w:pStyle w:val="Normal"/>
        <w:spacing w:lineRule="auto" w:line="240" w:before="0" w:after="0"/>
        <w:ind w:left="284" w:hanging="142"/>
        <w:jc w:val="both"/>
        <w:rPr>
          <w:rFonts w:ascii="Times New Roman" w:hAnsi="Times New Roman" w:cs="Times New Roman"/>
          <w:sz w:val="24"/>
          <w:szCs w:val="24"/>
        </w:rPr>
      </w:pPr>
      <w:r>
        <w:rPr>
          <w:rFonts w:cs="Times New Roman" w:ascii="Times New Roman" w:hAnsi="Times New Roman"/>
          <w:sz w:val="24"/>
          <w:szCs w:val="24"/>
        </w:rPr>
        <w:t>- Поточний ремонт пожежного гідранту в с. Роздольне, встановлення пристроїв для забору води на артезіанських свердловинах, встановлення покажчиків джерел пожежного водопостачання.</w:t>
      </w:r>
    </w:p>
    <w:p>
      <w:pPr>
        <w:pStyle w:val="Normal"/>
        <w:spacing w:lineRule="auto" w:line="240" w:before="0" w:after="0"/>
        <w:ind w:left="284" w:hanging="142"/>
        <w:jc w:val="both"/>
        <w:rPr>
          <w:rFonts w:ascii="Times New Roman" w:hAnsi="Times New Roman" w:cs="Times New Roman"/>
          <w:sz w:val="24"/>
          <w:szCs w:val="24"/>
        </w:rPr>
      </w:pPr>
      <w:r>
        <w:rPr>
          <w:rFonts w:cs="Times New Roman" w:ascii="Times New Roman" w:hAnsi="Times New Roman"/>
          <w:sz w:val="24"/>
          <w:szCs w:val="24"/>
        </w:rPr>
        <w:t>- Буріння нової артезіанської свердловини з питною водою у с.Чорноморівка.</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t>Функціонування об'єктів, що є комунальною власністю Каховської територіальної громади, їх утримання та збереження, підвищить ефективність використання комунального майна громади. Планується провести капітальні та поточні ремонти приміщень комунальної власності територіальної громади з метою їх збереження та належної експлуатації:</w:t>
      </w:r>
    </w:p>
    <w:p>
      <w:pPr>
        <w:pStyle w:val="Normal"/>
        <w:spacing w:lineRule="auto" w:line="240" w:before="0" w:after="0"/>
        <w:ind w:left="284" w:hanging="142"/>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Капітальний та поточний ремонт адмінбудівлі Чорноморівського старостинського округу та ФАПУ.</w:t>
      </w:r>
    </w:p>
    <w:p>
      <w:pPr>
        <w:pStyle w:val="Normal"/>
        <w:spacing w:lineRule="auto" w:line="240" w:before="0" w:after="0"/>
        <w:ind w:left="284" w:hanging="142"/>
        <w:jc w:val="both"/>
        <w:rPr>
          <w:rFonts w:ascii="Times New Roman" w:hAnsi="Times New Roman" w:cs="Times New Roman"/>
          <w:sz w:val="24"/>
          <w:szCs w:val="24"/>
        </w:rPr>
      </w:pPr>
      <w:r>
        <w:rPr>
          <w:rFonts w:cs="Times New Roman" w:ascii="Times New Roman" w:hAnsi="Times New Roman"/>
          <w:sz w:val="24"/>
          <w:szCs w:val="24"/>
        </w:rPr>
        <w:t>-  Поточний ремонт покрівель багатоповерхових будинків в с.Роздольне.</w:t>
      </w:r>
    </w:p>
    <w:p>
      <w:pPr>
        <w:pStyle w:val="Normal"/>
        <w:spacing w:lineRule="auto" w:line="240" w:before="0" w:after="0"/>
        <w:ind w:left="284" w:hanging="142"/>
        <w:jc w:val="both"/>
        <w:rPr>
          <w:rFonts w:ascii="Times New Roman" w:hAnsi="Times New Roman" w:cs="Times New Roman"/>
          <w:sz w:val="24"/>
          <w:szCs w:val="24"/>
        </w:rPr>
      </w:pPr>
      <w:r>
        <w:rPr>
          <w:rFonts w:cs="Times New Roman" w:ascii="Times New Roman" w:hAnsi="Times New Roman"/>
          <w:sz w:val="24"/>
          <w:szCs w:val="24"/>
        </w:rPr>
        <w:t>- Поточний ремонт порогу та фасаду адмінприміщення Роздольненського старостинського округу».</w:t>
      </w:r>
    </w:p>
    <w:p>
      <w:pPr>
        <w:pStyle w:val="Normal"/>
        <w:spacing w:lineRule="auto" w:line="240" w:before="0" w:after="0"/>
        <w:jc w:val="both"/>
        <w:rPr>
          <w:rFonts w:ascii="Times New Roman" w:hAnsi="Times New Roman" w:cs="Times New Roman"/>
          <w:sz w:val="16"/>
          <w:szCs w:val="16"/>
        </w:rPr>
      </w:pPr>
      <w:r>
        <w:rPr>
          <w:rFonts w:cs="Times New Roman" w:ascii="Times New Roman" w:hAnsi="Times New Roman"/>
          <w:sz w:val="16"/>
          <w:szCs w:val="16"/>
        </w:rPr>
      </w:r>
    </w:p>
    <w:p>
      <w:pPr>
        <w:pStyle w:val="Normal"/>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t>Завдання 3.2.2. Охорона навколишнього середовища та поводження з ТПВ</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t>Масштабне та «вагоме» завдання, що безпосередньо пов’язане зі сферою охорони здоров’я мешканців і має виключне значення. Його реалізація передбачає низку інфраструктурних та організаційних проєктів і заходів:</w:t>
      </w:r>
    </w:p>
    <w:p>
      <w:pPr>
        <w:pStyle w:val="Normal"/>
        <w:spacing w:lineRule="auto" w:line="240" w:before="0" w:after="0"/>
        <w:ind w:left="284" w:hanging="142"/>
        <w:jc w:val="both"/>
        <w:rPr>
          <w:rFonts w:ascii="Times New Roman" w:hAnsi="Times New Roman" w:cs="Times New Roman"/>
          <w:sz w:val="24"/>
          <w:szCs w:val="24"/>
        </w:rPr>
      </w:pPr>
      <w:r>
        <w:rPr>
          <w:rFonts w:cs="Times New Roman" w:ascii="Times New Roman" w:hAnsi="Times New Roman"/>
          <w:sz w:val="24"/>
          <w:szCs w:val="24"/>
        </w:rPr>
        <w:t>- Розробка та затвердження Програми ”Благоустрій та озеленення громади”.</w:t>
      </w:r>
    </w:p>
    <w:p>
      <w:pPr>
        <w:pStyle w:val="Normal"/>
        <w:spacing w:lineRule="auto" w:line="240" w:before="0" w:after="0"/>
        <w:ind w:left="284" w:hanging="142"/>
        <w:jc w:val="both"/>
        <w:rPr>
          <w:rFonts w:ascii="Times New Roman" w:hAnsi="Times New Roman" w:cs="Times New Roman"/>
          <w:sz w:val="24"/>
          <w:szCs w:val="24"/>
        </w:rPr>
      </w:pPr>
      <w:r>
        <w:rPr>
          <w:rFonts w:cs="Times New Roman" w:ascii="Times New Roman" w:hAnsi="Times New Roman"/>
          <w:sz w:val="24"/>
          <w:szCs w:val="24"/>
        </w:rPr>
        <w:t>- Відновлення полезахисних лісосмуг старостинських округів.</w:t>
      </w:r>
    </w:p>
    <w:p>
      <w:pPr>
        <w:pStyle w:val="Normal"/>
        <w:spacing w:lineRule="auto" w:line="240" w:before="0" w:after="0"/>
        <w:ind w:left="284" w:hanging="142"/>
        <w:jc w:val="both"/>
        <w:rPr>
          <w:rFonts w:ascii="Times New Roman" w:hAnsi="Times New Roman" w:cs="Times New Roman"/>
          <w:sz w:val="24"/>
          <w:szCs w:val="24"/>
        </w:rPr>
      </w:pPr>
      <w:r>
        <w:rPr>
          <w:rFonts w:cs="Times New Roman" w:ascii="Times New Roman" w:hAnsi="Times New Roman"/>
          <w:sz w:val="24"/>
          <w:szCs w:val="24"/>
        </w:rPr>
        <w:t>- Оновлення технічної документації по проекту ”Реконструкція міського полігону ТПВ».</w:t>
      </w:r>
    </w:p>
    <w:p>
      <w:pPr>
        <w:pStyle w:val="Normal"/>
        <w:spacing w:lineRule="auto" w:line="240" w:before="0" w:after="0"/>
        <w:ind w:left="284" w:hanging="142"/>
        <w:jc w:val="both"/>
        <w:rPr>
          <w:rFonts w:ascii="Times New Roman" w:hAnsi="Times New Roman" w:cs="Times New Roman"/>
          <w:sz w:val="24"/>
          <w:szCs w:val="24"/>
        </w:rPr>
      </w:pPr>
      <w:r>
        <w:rPr>
          <w:rFonts w:cs="Times New Roman" w:ascii="Times New Roman" w:hAnsi="Times New Roman"/>
          <w:sz w:val="24"/>
          <w:szCs w:val="24"/>
        </w:rPr>
        <w:t>- Програма забезпечення екологічного стану міста (боротьба з амброзією).</w:t>
      </w:r>
    </w:p>
    <w:p>
      <w:pPr>
        <w:pStyle w:val="Normal"/>
        <w:spacing w:lineRule="auto" w:line="240" w:before="0" w:after="0"/>
        <w:jc w:val="both"/>
        <w:rPr>
          <w:rFonts w:ascii="Times New Roman" w:hAnsi="Times New Roman" w:cs="Times New Roman"/>
          <w:sz w:val="16"/>
          <w:szCs w:val="16"/>
        </w:rPr>
      </w:pPr>
      <w:r>
        <w:rPr>
          <w:rFonts w:cs="Times New Roman" w:ascii="Times New Roman" w:hAnsi="Times New Roman"/>
          <w:sz w:val="16"/>
          <w:szCs w:val="16"/>
        </w:rPr>
      </w:r>
    </w:p>
    <w:p>
      <w:pPr>
        <w:pStyle w:val="Normal"/>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t>Завдання 3.2.3. Розвиток дорожньої інфраструктури</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За результатами опитування мешканців, зокрема, молоді, стан доріг та вулиць у населених пунктах громади є одним з найболючіших проблемних питань. Водночас, повне його вирішення потребує значних фінансових ресурсів. Крім того, частина доріг, що проходять через територію Каховської громади, мають статус регіонального чи державного значення.</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На ближчу перспективу заплановано реалізацію наступних проєктів і заходів з капітального та поточного ремонту доріг Каховської громади:</w:t>
      </w:r>
    </w:p>
    <w:p>
      <w:pPr>
        <w:pStyle w:val="Normal"/>
        <w:spacing w:lineRule="auto" w:line="240" w:before="0" w:after="0"/>
        <w:ind w:left="284" w:hanging="142"/>
        <w:jc w:val="both"/>
        <w:rPr>
          <w:rFonts w:ascii="Times New Roman" w:hAnsi="Times New Roman" w:cs="Times New Roman"/>
          <w:sz w:val="24"/>
          <w:szCs w:val="24"/>
        </w:rPr>
      </w:pPr>
      <w:r>
        <w:rPr>
          <w:rFonts w:cs="Times New Roman" w:ascii="Times New Roman" w:hAnsi="Times New Roman"/>
          <w:sz w:val="24"/>
          <w:szCs w:val="24"/>
        </w:rPr>
        <w:t xml:space="preserve">- Будівництво асфальтобетонного покриття проїжджої частини пров. Херсонський с. Роздольне. </w:t>
      </w:r>
    </w:p>
    <w:p>
      <w:pPr>
        <w:pStyle w:val="Normal"/>
        <w:spacing w:lineRule="auto" w:line="240" w:before="0" w:after="0"/>
        <w:ind w:left="284" w:hanging="142"/>
        <w:jc w:val="both"/>
        <w:rPr>
          <w:rFonts w:ascii="Times New Roman" w:hAnsi="Times New Roman" w:cs="Times New Roman"/>
          <w:sz w:val="24"/>
          <w:szCs w:val="24"/>
        </w:rPr>
      </w:pPr>
      <w:r>
        <w:rPr>
          <w:rFonts w:cs="Times New Roman" w:ascii="Times New Roman" w:hAnsi="Times New Roman"/>
          <w:sz w:val="24"/>
          <w:szCs w:val="24"/>
        </w:rPr>
        <w:t>- Капітальний та поточний ремонт доріг в с.Чорноморівка.</w:t>
      </w:r>
    </w:p>
    <w:p>
      <w:pPr>
        <w:pStyle w:val="Normal"/>
        <w:spacing w:lineRule="auto" w:line="240" w:before="0" w:after="0"/>
        <w:ind w:left="284" w:hanging="142"/>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-Поточний ремонт асфальтобетонного покриття проїжджої частини вул. Шкільна, вул.Шуменська, вул.Херсонська с. Роздольне».</w:t>
      </w:r>
    </w:p>
    <w:p>
      <w:pPr>
        <w:pStyle w:val="Normal"/>
        <w:spacing w:lineRule="auto" w:line="240" w:before="0" w:after="0"/>
        <w:jc w:val="both"/>
        <w:rPr>
          <w:rFonts w:ascii="Times New Roman" w:hAnsi="Times New Roman" w:cs="Times New Roman"/>
        </w:rPr>
      </w:pPr>
      <w:r>
        <w:rPr>
          <w:rFonts w:cs="Times New Roman" w:ascii="Times New Roman" w:hAnsi="Times New Roman"/>
        </w:rPr>
      </w:r>
    </w:p>
    <w:p>
      <w:pPr>
        <w:pStyle w:val="Normal"/>
        <w:keepNext/>
        <w:numPr>
          <w:ilvl w:val="0"/>
          <w:numId w:val="0"/>
        </w:numPr>
        <w:tabs>
          <w:tab w:val="left" w:pos="284" w:leader="none"/>
        </w:tabs>
        <w:spacing w:lineRule="auto" w:line="240" w:before="0" w:after="0"/>
        <w:ind w:left="284" w:hanging="284"/>
        <w:outlineLvl w:val="0"/>
        <w:rPr>
          <w:rFonts w:ascii="Times New Roman" w:hAnsi="Times New Roman" w:eastAsia="Times New Roman" w:cs="Times New Roman"/>
          <w:b/>
          <w:b/>
          <w:bCs/>
          <w:color w:val="1A1A1A"/>
          <w:sz w:val="26"/>
          <w:szCs w:val="26"/>
        </w:rPr>
      </w:pPr>
      <w:bookmarkStart w:id="129" w:name="_Toc42617123"/>
      <w:bookmarkStart w:id="130" w:name="_Toc84967195"/>
      <w:bookmarkStart w:id="131" w:name="_Toc360262"/>
      <w:r>
        <w:rPr>
          <w:rFonts w:eastAsia="Times New Roman" w:cs="Times New Roman" w:ascii="Times New Roman" w:hAnsi="Times New Roman"/>
          <w:b/>
          <w:bCs/>
          <w:color w:val="1A1A1A"/>
          <w:sz w:val="26"/>
          <w:szCs w:val="26"/>
          <w:lang w:val="en-US"/>
        </w:rPr>
        <w:t>V</w:t>
      </w:r>
      <w:r>
        <w:rPr>
          <w:rFonts w:eastAsia="Times New Roman" w:cs="Times New Roman" w:ascii="Times New Roman" w:hAnsi="Times New Roman"/>
          <w:b/>
          <w:bCs/>
          <w:color w:val="1A1A1A"/>
          <w:sz w:val="26"/>
          <w:szCs w:val="26"/>
        </w:rPr>
        <w:t xml:space="preserve">. </w:t>
      </w:r>
      <w:bookmarkEnd w:id="129"/>
      <w:bookmarkEnd w:id="130"/>
      <w:bookmarkEnd w:id="131"/>
      <w:r>
        <w:rPr>
          <w:rFonts w:eastAsia="Times New Roman" w:cs="Times New Roman" w:ascii="Times New Roman" w:hAnsi="Times New Roman"/>
          <w:b/>
          <w:bCs/>
          <w:color w:val="1A1A1A"/>
          <w:sz w:val="26"/>
          <w:szCs w:val="26"/>
        </w:rPr>
        <w:t>АНАЛІЗ ВІДПОВІДНОСТІ ПОЛОЖЕНЬ СТРАТЕГІЇ РЕГІОНАЛЬНІЙ СТРАТЕГІЇ РОЗВИТКУ</w:t>
      </w:r>
    </w:p>
    <w:p>
      <w:pPr>
        <w:pStyle w:val="Normal"/>
        <w:spacing w:lineRule="auto" w:line="240" w:before="0" w:after="0"/>
        <w:ind w:firstLine="708"/>
        <w:jc w:val="both"/>
        <w:rPr>
          <w:rFonts w:ascii="Times New Roman" w:hAnsi="Times New Roman" w:eastAsia="Calibri" w:cs="Times New Roman"/>
          <w:color w:val="1A1A1A"/>
          <w:sz w:val="24"/>
          <w:szCs w:val="24"/>
        </w:rPr>
      </w:pPr>
      <w:r>
        <w:rPr>
          <w:rFonts w:eastAsia="Calibri" w:cs="Times New Roman" w:ascii="Times New Roman" w:hAnsi="Times New Roman"/>
          <w:color w:val="1A1A1A"/>
          <w:sz w:val="24"/>
          <w:szCs w:val="24"/>
        </w:rPr>
      </w:r>
    </w:p>
    <w:p>
      <w:pPr>
        <w:pStyle w:val="Normal"/>
        <w:spacing w:lineRule="auto" w:line="240" w:before="0" w:after="0"/>
        <w:ind w:firstLine="708"/>
        <w:jc w:val="both"/>
        <w:rPr>
          <w:rFonts w:ascii="Times New Roman" w:hAnsi="Times New Roman" w:eastAsia="Calibri" w:cs="Times New Roman"/>
          <w:color w:val="1A1A1A"/>
          <w:sz w:val="24"/>
          <w:szCs w:val="24"/>
        </w:rPr>
      </w:pPr>
      <w:r>
        <w:rPr>
          <w:rFonts w:eastAsia="Calibri" w:cs="Times New Roman" w:ascii="Times New Roman" w:hAnsi="Times New Roman"/>
          <w:color w:val="1A1A1A"/>
          <w:sz w:val="24"/>
          <w:szCs w:val="24"/>
        </w:rPr>
        <w:t>Стратегія розвитку Каховської громади розроблена на основі положень Конституції України, Законів України «Про місцеве самоврядування в Україні», «Про державне прогнозування та розроблення програм економічного і соціального розвитку України», нормативно-правових актів Кабінету Міністрів України, з урахуванням положень Наказу Мінрегіону № 75 від 30.03.2016 «Про затвердження Методичних рекомендацій щодо формування і реалізації прогнозних та програмних документів соціально-економічного розвитку об'єднаної територіальної громади».</w:t>
      </w:r>
    </w:p>
    <w:p>
      <w:pPr>
        <w:pStyle w:val="Normal"/>
        <w:spacing w:lineRule="auto" w:line="240" w:before="0" w:after="0"/>
        <w:ind w:firstLine="708"/>
        <w:jc w:val="both"/>
        <w:rPr>
          <w:rFonts w:ascii="Times New Roman" w:hAnsi="Times New Roman" w:eastAsia="Calibri" w:cs="Times New Roman"/>
          <w:color w:val="1A1A1A"/>
          <w:sz w:val="24"/>
          <w:szCs w:val="24"/>
        </w:rPr>
      </w:pPr>
      <w:r>
        <w:rPr>
          <w:rFonts w:eastAsia="Calibri" w:cs="Times New Roman" w:ascii="Times New Roman" w:hAnsi="Times New Roman"/>
          <w:color w:val="1A1A1A"/>
          <w:sz w:val="24"/>
          <w:szCs w:val="24"/>
        </w:rPr>
        <w:t>Крім того, у Стратегії враховані цілі Стратегії розвитку Херсонської області на період 2021-2027 років (табл. 6)</w:t>
      </w:r>
    </w:p>
    <w:p>
      <w:pPr>
        <w:pStyle w:val="Normal"/>
        <w:spacing w:lineRule="auto" w:line="240" w:before="0" w:after="0"/>
        <w:ind w:firstLine="708"/>
        <w:jc w:val="both"/>
        <w:rPr>
          <w:rFonts w:ascii="Times New Roman" w:hAnsi="Times New Roman" w:eastAsia="Calibri" w:cs="Times New Roman"/>
          <w:color w:val="1A1A1A"/>
          <w:sz w:val="24"/>
          <w:szCs w:val="24"/>
        </w:rPr>
      </w:pPr>
      <w:r>
        <w:rPr>
          <w:rFonts w:eastAsia="Calibri" w:cs="Times New Roman" w:ascii="Times New Roman" w:hAnsi="Times New Roman"/>
          <w:color w:val="1A1A1A"/>
          <w:sz w:val="24"/>
          <w:szCs w:val="24"/>
        </w:rPr>
      </w:r>
    </w:p>
    <w:tbl>
      <w:tblPr>
        <w:tblW w:w="10349" w:type="dxa"/>
        <w:jc w:val="left"/>
        <w:tblInd w:w="-3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83" w:type="dxa"/>
          <w:bottom w:w="0" w:type="dxa"/>
          <w:right w:w="108" w:type="dxa"/>
        </w:tblCellMar>
        <w:tblLook w:val="01e0" w:noVBand="0" w:noHBand="0" w:lastColumn="1" w:firstColumn="1" w:lastRow="1" w:firstRow="1"/>
      </w:tblPr>
      <w:tblGrid>
        <w:gridCol w:w="3543"/>
        <w:gridCol w:w="709"/>
        <w:gridCol w:w="709"/>
        <w:gridCol w:w="567"/>
        <w:gridCol w:w="567"/>
        <w:gridCol w:w="709"/>
        <w:gridCol w:w="567"/>
        <w:gridCol w:w="851"/>
        <w:gridCol w:w="849"/>
        <w:gridCol w:w="709"/>
        <w:gridCol w:w="567"/>
      </w:tblGrid>
      <w:tr>
        <w:trPr>
          <w:trHeight w:val="698" w:hRule="atLeast"/>
        </w:trPr>
        <w:tc>
          <w:tcPr>
            <w:tcW w:w="3543"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b/>
                <w:b/>
                <w:bCs/>
                <w:color w:val="1A1A1A"/>
                <w:lang w:eastAsia="uk-UA"/>
              </w:rPr>
            </w:pPr>
            <w:r>
              <w:rPr>
                <w:rFonts w:eastAsia="Times New Roman" w:cs="Times New Roman" w:ascii="Times New Roman" w:hAnsi="Times New Roman"/>
                <w:b/>
                <w:bCs/>
                <w:color w:val="1A1A1A"/>
                <w:lang w:eastAsia="uk-UA"/>
              </w:rPr>
              <w:t>Оперативні цілі Стратегії розвитку Херсонської області на період 2021-2027 років</w:t>
            </w:r>
          </w:p>
        </w:tc>
        <w:tc>
          <w:tcPr>
            <w:tcW w:w="6804" w:type="dxa"/>
            <w:gridSpan w:val="10"/>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tcPr>
          <w:p>
            <w:pPr>
              <w:pStyle w:val="Normal"/>
              <w:spacing w:lineRule="auto" w:line="240" w:before="0" w:after="0"/>
              <w:jc w:val="center"/>
              <w:rPr>
                <w:rFonts w:ascii="Times New Roman" w:hAnsi="Times New Roman" w:eastAsia="Times New Roman" w:cs="Times New Roman"/>
                <w:b/>
                <w:b/>
                <w:bCs/>
                <w:color w:val="1A1A1A"/>
                <w:lang w:eastAsia="uk-UA"/>
              </w:rPr>
            </w:pPr>
            <w:r>
              <w:rPr>
                <w:rFonts w:eastAsia="Times New Roman" w:cs="Times New Roman" w:ascii="Times New Roman" w:hAnsi="Times New Roman"/>
                <w:b/>
                <w:bCs/>
                <w:color w:val="1A1A1A"/>
                <w:lang w:eastAsia="uk-UA"/>
              </w:rPr>
              <w:t>Оперативні цілі Стратегії розвитку Каховської територіальної громади на2022-2027 роки</w:t>
            </w:r>
          </w:p>
        </w:tc>
      </w:tr>
      <w:tr>
        <w:trPr>
          <w:trHeight w:val="2871" w:hRule="exact"/>
          <w:cantSplit w:val="true"/>
        </w:trPr>
        <w:tc>
          <w:tcPr>
            <w:tcW w:w="35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tcPr>
          <w:p>
            <w:pPr>
              <w:pStyle w:val="Normal"/>
              <w:spacing w:lineRule="auto" w:line="240" w:before="0" w:after="0"/>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27" w:type="dxa"/>
              <w:right w:w="57" w:type="dxa"/>
            </w:tcMar>
            <w:textDirection w:val="btLr"/>
          </w:tcPr>
          <w:p>
            <w:pPr>
              <w:pStyle w:val="Normal"/>
              <w:spacing w:lineRule="exact" w:line="200" w:before="0" w:after="0"/>
              <w:ind w:left="113" w:right="113" w:hanging="0"/>
              <w:rPr>
                <w:rFonts w:ascii="Times New Roman" w:hAnsi="Times New Roman" w:eastAsia="Times New Roman" w:cs="Times New Roman"/>
                <w:color w:val="1A1A1A"/>
                <w:lang w:eastAsia="uk-UA"/>
              </w:rPr>
            </w:pPr>
            <w:r>
              <w:rPr>
                <w:rFonts w:eastAsia="Calibri" w:cs="Times New Roman" w:ascii="Times New Roman" w:hAnsi="Times New Roman"/>
              </w:rPr>
              <w:t>1.1. Створення сприятливого середовища для розвитку місцевого бізнесу</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27" w:type="dxa"/>
              <w:right w:w="57" w:type="dxa"/>
            </w:tcMar>
            <w:textDirection w:val="btLr"/>
          </w:tcPr>
          <w:p>
            <w:pPr>
              <w:pStyle w:val="Normal"/>
              <w:spacing w:lineRule="exact" w:line="200" w:before="0" w:after="0"/>
              <w:ind w:left="113" w:right="113" w:hanging="0"/>
              <w:rPr>
                <w:rFonts w:ascii="Times New Roman" w:hAnsi="Times New Roman" w:eastAsia="Times New Roman" w:cs="Times New Roman"/>
                <w:color w:val="1A1A1A"/>
                <w:lang w:eastAsia="uk-UA"/>
              </w:rPr>
            </w:pPr>
            <w:r>
              <w:rPr>
                <w:rFonts w:eastAsia="Calibri" w:cs="Times New Roman" w:ascii="Times New Roman" w:hAnsi="Times New Roman"/>
              </w:rPr>
              <w:t xml:space="preserve">1.2. </w:t>
            </w:r>
            <w:r>
              <w:rPr>
                <w:rFonts w:eastAsia="Calibri" w:cs="Times New Roman" w:ascii="Times New Roman" w:hAnsi="Times New Roman"/>
                <w:bCs/>
              </w:rPr>
              <w:t>Розвиток інвестиційного клімату громади</w:t>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textDirection w:val="btLr"/>
          </w:tcPr>
          <w:p>
            <w:pPr>
              <w:pStyle w:val="Normal"/>
              <w:spacing w:lineRule="exact" w:line="200" w:before="0" w:after="0"/>
              <w:ind w:left="113" w:right="113" w:hanging="0"/>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t>1.3. Економіка вражень, економіка сенсів</w:t>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textDirection w:val="btLr"/>
          </w:tcPr>
          <w:p>
            <w:pPr>
              <w:pStyle w:val="Normal"/>
              <w:spacing w:lineRule="exact" w:line="200" w:before="0" w:after="0"/>
              <w:ind w:left="113" w:right="113" w:hanging="0"/>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t>2.1. Розвиток освітньої галузі громади</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27" w:type="dxa"/>
              <w:right w:w="57" w:type="dxa"/>
            </w:tcMar>
            <w:textDirection w:val="btLr"/>
            <w:vAlign w:val="center"/>
          </w:tcPr>
          <w:p>
            <w:pPr>
              <w:pStyle w:val="Normal"/>
              <w:spacing w:lineRule="exact" w:line="200" w:before="0" w:after="0"/>
              <w:ind w:left="113" w:right="113" w:hanging="0"/>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t>2.2.Сучасна охорона здоров’я та медичні послуги</w:t>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27" w:type="dxa"/>
              <w:right w:w="57" w:type="dxa"/>
            </w:tcMar>
            <w:textDirection w:val="btLr"/>
            <w:vAlign w:val="center"/>
          </w:tcPr>
          <w:p>
            <w:pPr>
              <w:pStyle w:val="Normal"/>
              <w:spacing w:lineRule="exact" w:line="200" w:before="0" w:after="0"/>
              <w:ind w:left="113" w:right="113" w:hanging="0"/>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t>2.3. Розвиток культури</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27" w:type="dxa"/>
              <w:right w:w="57" w:type="dxa"/>
            </w:tcMar>
            <w:textDirection w:val="btLr"/>
            <w:vAlign w:val="center"/>
          </w:tcPr>
          <w:p>
            <w:pPr>
              <w:pStyle w:val="Normal"/>
              <w:spacing w:lineRule="exact" w:line="200" w:before="0" w:after="0"/>
              <w:ind w:left="113" w:right="113" w:hanging="0"/>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t>2.4.Створення умов для розвитку фізичної культури та спорту</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textDirection w:val="btLr"/>
            <w:vAlign w:val="center"/>
          </w:tcPr>
          <w:p>
            <w:pPr>
              <w:pStyle w:val="Normal"/>
              <w:spacing w:lineRule="exact" w:line="200" w:before="0" w:after="0"/>
              <w:ind w:left="113" w:right="113" w:hanging="0"/>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t>2.5. Активна участь мешканців у житті громади та соціальні послуги</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textDirection w:val="btLr"/>
          </w:tcPr>
          <w:p>
            <w:pPr>
              <w:pStyle w:val="Normal"/>
              <w:spacing w:lineRule="exact" w:line="200" w:before="0" w:after="0"/>
              <w:ind w:left="113" w:right="113" w:hanging="0"/>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t>3.1. Безпека громади і комфорт мешканців</w:t>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textDirection w:val="btLr"/>
          </w:tcPr>
          <w:p>
            <w:pPr>
              <w:pStyle w:val="Normal"/>
              <w:spacing w:lineRule="exact" w:line="200" w:before="0" w:after="0"/>
              <w:ind w:left="113" w:right="113" w:hanging="0"/>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t>3.2. Комунальне господарство та екологія</w:t>
            </w:r>
          </w:p>
        </w:tc>
      </w:tr>
      <w:tr>
        <w:trPr>
          <w:trHeight w:val="671" w:hRule="atLeast"/>
        </w:trPr>
        <w:tc>
          <w:tcPr>
            <w:tcW w:w="3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tcPr>
          <w:p>
            <w:pPr>
              <w:pStyle w:val="Normal"/>
              <w:spacing w:lineRule="exact" w:line="200" w:before="0" w:after="0"/>
              <w:ind w:left="176" w:hanging="176"/>
              <w:rPr>
                <w:rFonts w:ascii="Times New Roman" w:hAnsi="Times New Roman" w:eastAsia="Calibri" w:cs="Times New Roman"/>
                <w:color w:val="1A1A1A"/>
              </w:rPr>
            </w:pPr>
            <w:r>
              <w:rPr>
                <w:rFonts w:eastAsia="Times New Roman" w:cs="Times New Roman" w:ascii="Times New Roman" w:hAnsi="Times New Roman"/>
                <w:color w:val="1A1A1A"/>
                <w:lang w:eastAsia="uk-UA"/>
              </w:rPr>
              <w:t>1</w:t>
            </w:r>
            <w:r>
              <w:rPr>
                <w:rFonts w:eastAsia="Calibri" w:cs="Times New Roman" w:ascii="Times New Roman" w:hAnsi="Times New Roman"/>
              </w:rPr>
              <w:t>.1. Розвиток інноваційних секторів економіки та діджиталізації</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t>√</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t>√</w:t>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BFFFAB"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t>√</w:t>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BFFFAB"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r>
      <w:tr>
        <w:trPr>
          <w:trHeight w:val="694" w:hRule="atLeast"/>
        </w:trPr>
        <w:tc>
          <w:tcPr>
            <w:tcW w:w="3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tcPr>
          <w:p>
            <w:pPr>
              <w:pStyle w:val="Normal"/>
              <w:spacing w:lineRule="exact" w:line="200" w:before="0" w:after="0"/>
              <w:ind w:left="176" w:hanging="176"/>
              <w:rPr>
                <w:rFonts w:ascii="Times New Roman" w:hAnsi="Times New Roman" w:eastAsia="Calibri" w:cs="Times New Roman"/>
                <w:color w:val="1A1A1A"/>
              </w:rPr>
            </w:pPr>
            <w:r>
              <w:rPr>
                <w:rFonts w:eastAsia="Calibri" w:cs="Times New Roman" w:ascii="Times New Roman" w:hAnsi="Times New Roman"/>
              </w:rPr>
              <w:t>1.2. Розвиток зрошення, органічного с/г виробництва, рибного господарства</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t>√</w:t>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r>
      <w:tr>
        <w:trPr>
          <w:trHeight w:val="845" w:hRule="atLeast"/>
        </w:trPr>
        <w:tc>
          <w:tcPr>
            <w:tcW w:w="3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tcPr>
          <w:p>
            <w:pPr>
              <w:pStyle w:val="Normal"/>
              <w:spacing w:lineRule="exact" w:line="200" w:before="0" w:after="0"/>
              <w:ind w:left="176" w:hanging="176"/>
              <w:rPr>
                <w:rFonts w:ascii="Times New Roman" w:hAnsi="Times New Roman" w:eastAsia="Calibri" w:cs="Times New Roman"/>
              </w:rPr>
            </w:pPr>
            <w:r>
              <w:rPr>
                <w:rFonts w:eastAsia="Calibri" w:cs="Times New Roman" w:ascii="Times New Roman" w:hAnsi="Times New Roman"/>
              </w:rPr>
              <w:t>1.3. Туристично-рекреаційна індустрія для відпочинку та інтелектуально-духовного збагачення людей</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t>√</w:t>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BFFFAB"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BFFFAB"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r>
      <w:tr>
        <w:trPr>
          <w:trHeight w:val="555" w:hRule="atLeast"/>
        </w:trPr>
        <w:tc>
          <w:tcPr>
            <w:tcW w:w="3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tcPr>
          <w:p>
            <w:pPr>
              <w:pStyle w:val="Normal"/>
              <w:spacing w:lineRule="exact" w:line="200" w:before="0" w:after="0"/>
              <w:ind w:left="176" w:hanging="176"/>
              <w:rPr>
                <w:rFonts w:ascii="Times New Roman" w:hAnsi="Times New Roman" w:eastAsia="Calibri" w:cs="Times New Roman"/>
              </w:rPr>
            </w:pPr>
            <w:r>
              <w:rPr>
                <w:rFonts w:eastAsia="Calibri" w:cs="Times New Roman" w:ascii="Times New Roman" w:hAnsi="Times New Roman"/>
              </w:rPr>
              <w:t>1.4. Розвиток транспортної інфраструктури та сполучення</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r>
      <w:tr>
        <w:trPr>
          <w:trHeight w:val="509" w:hRule="atLeast"/>
        </w:trPr>
        <w:tc>
          <w:tcPr>
            <w:tcW w:w="3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exact" w:line="200" w:before="0" w:after="0"/>
              <w:ind w:left="176" w:hanging="176"/>
              <w:rPr>
                <w:rFonts w:ascii="Times New Roman" w:hAnsi="Times New Roman" w:eastAsia="Calibri" w:cs="Times New Roman"/>
              </w:rPr>
            </w:pPr>
            <w:r>
              <w:rPr>
                <w:rFonts w:eastAsia="Calibri" w:cs="Times New Roman" w:ascii="Times New Roman" w:hAnsi="Times New Roman"/>
              </w:rPr>
              <w:t>2.1. Херсонщина – територія здорового життя</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auto" w:line="240" w:before="0" w:after="0"/>
              <w:jc w:val="center"/>
              <w:rPr>
                <w:rFonts w:ascii="Times New Roman" w:hAnsi="Times New Roman" w:eastAsia="Times New Roman" w:cs="Times New Roman"/>
                <w:lang w:eastAsia="uk-UA"/>
              </w:rPr>
            </w:pPr>
            <w:r>
              <w:rPr>
                <w:rFonts w:eastAsia="Times New Roman" w:cs="Times New Roman" w:ascii="Times New Roman" w:hAnsi="Times New Roman"/>
                <w:lang w:eastAsia="uk-UA"/>
              </w:rPr>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t>√</w:t>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t>√</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BFFFAB"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BFFFAB"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r>
      <w:tr>
        <w:trPr>
          <w:trHeight w:val="746" w:hRule="atLeast"/>
        </w:trPr>
        <w:tc>
          <w:tcPr>
            <w:tcW w:w="3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exact" w:line="200" w:before="0" w:after="0"/>
              <w:ind w:left="176" w:hanging="176"/>
              <w:rPr>
                <w:rFonts w:ascii="Times New Roman" w:hAnsi="Times New Roman" w:eastAsia="Calibri" w:cs="Times New Roman"/>
              </w:rPr>
            </w:pPr>
            <w:r>
              <w:rPr>
                <w:rFonts w:eastAsia="Calibri" w:cs="Times New Roman" w:ascii="Times New Roman" w:hAnsi="Times New Roman"/>
              </w:rPr>
              <w:t>2.2. Розвиток людського капіталу для забезпечення продуктивної зайнятості населення</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t>√</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r>
      <w:tr>
        <w:trPr>
          <w:trHeight w:val="505" w:hRule="atLeast"/>
        </w:trPr>
        <w:tc>
          <w:tcPr>
            <w:tcW w:w="3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exact" w:line="200" w:before="0" w:after="0"/>
              <w:ind w:left="176" w:hanging="176"/>
              <w:rPr>
                <w:rFonts w:ascii="Times New Roman" w:hAnsi="Times New Roman" w:eastAsia="Calibri" w:cs="Times New Roman"/>
              </w:rPr>
            </w:pPr>
            <w:r>
              <w:rPr>
                <w:rFonts w:eastAsia="Calibri" w:cs="Times New Roman" w:ascii="Times New Roman" w:hAnsi="Times New Roman"/>
              </w:rPr>
              <w:t>2.3. Створення комфортних умов для проживання населення</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BFFFAB"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t>√</w:t>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BFFFAB"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t>√</w:t>
            </w:r>
          </w:p>
        </w:tc>
      </w:tr>
      <w:tr>
        <w:trPr>
          <w:trHeight w:val="466" w:hRule="atLeast"/>
        </w:trPr>
        <w:tc>
          <w:tcPr>
            <w:tcW w:w="3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exact" w:line="200" w:before="0" w:after="0"/>
              <w:ind w:left="176" w:hanging="176"/>
              <w:rPr>
                <w:rFonts w:ascii="Times New Roman" w:hAnsi="Times New Roman" w:eastAsia="Calibri" w:cs="Times New Roman"/>
              </w:rPr>
            </w:pPr>
            <w:r>
              <w:rPr>
                <w:rFonts w:eastAsia="Calibri" w:cs="Times New Roman" w:ascii="Times New Roman" w:hAnsi="Times New Roman"/>
              </w:rPr>
              <w:t>2.4. Збереження та розвиток культурного простору</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t>√</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t>√</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r>
      <w:tr>
        <w:trPr>
          <w:trHeight w:val="559" w:hRule="atLeast"/>
        </w:trPr>
        <w:tc>
          <w:tcPr>
            <w:tcW w:w="3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exact" w:line="200" w:before="0" w:after="0"/>
              <w:ind w:left="176" w:hanging="176"/>
              <w:rPr>
                <w:rFonts w:ascii="Times New Roman" w:hAnsi="Times New Roman" w:eastAsia="Calibri" w:cs="Times New Roman"/>
              </w:rPr>
            </w:pPr>
            <w:r>
              <w:rPr>
                <w:rFonts w:eastAsia="Calibri" w:cs="Times New Roman" w:ascii="Times New Roman" w:hAnsi="Times New Roman"/>
              </w:rPr>
              <w:t>2.5. Кожна дитина у щасливій родині</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BFFFAB"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BFFFAB"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r>
      <w:tr>
        <w:trPr>
          <w:trHeight w:val="720" w:hRule="atLeast"/>
        </w:trPr>
        <w:tc>
          <w:tcPr>
            <w:tcW w:w="3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exact" w:line="200" w:before="0" w:after="0"/>
              <w:ind w:left="176" w:hanging="176"/>
              <w:rPr>
                <w:rFonts w:ascii="Times New Roman" w:hAnsi="Times New Roman" w:eastAsia="Calibri" w:cs="Times New Roman"/>
              </w:rPr>
            </w:pPr>
            <w:r>
              <w:rPr>
                <w:rFonts w:eastAsia="Calibri" w:cs="Times New Roman" w:ascii="Times New Roman" w:hAnsi="Times New Roman"/>
              </w:rPr>
              <w:t>3.1. Забезпечення загальнонаціо-нальних інтересів у сфері захисту довкілля</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t>√</w:t>
            </w:r>
          </w:p>
        </w:tc>
      </w:tr>
      <w:tr>
        <w:trPr>
          <w:trHeight w:val="534" w:hRule="atLeast"/>
        </w:trPr>
        <w:tc>
          <w:tcPr>
            <w:tcW w:w="3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exact" w:line="200" w:before="0" w:after="0"/>
              <w:ind w:left="176" w:hanging="176"/>
              <w:rPr>
                <w:rFonts w:ascii="Times New Roman" w:hAnsi="Times New Roman" w:eastAsia="Calibri" w:cs="Times New Roman"/>
              </w:rPr>
            </w:pPr>
            <w:r>
              <w:rPr>
                <w:rFonts w:eastAsia="Calibri" w:cs="Times New Roman" w:ascii="Times New Roman" w:hAnsi="Times New Roman"/>
              </w:rPr>
              <w:t>3.2. Покращення управління відходами</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BFFFAB"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t>√</w:t>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BFFFAB"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t>√</w:t>
            </w:r>
          </w:p>
        </w:tc>
      </w:tr>
      <w:tr>
        <w:trPr>
          <w:trHeight w:val="556" w:hRule="atLeast"/>
        </w:trPr>
        <w:tc>
          <w:tcPr>
            <w:tcW w:w="3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exact" w:line="200" w:before="0" w:after="0"/>
              <w:ind w:left="176" w:hanging="176"/>
              <w:rPr>
                <w:rFonts w:ascii="Times New Roman" w:hAnsi="Times New Roman" w:eastAsia="Calibri" w:cs="Times New Roman"/>
              </w:rPr>
            </w:pPr>
            <w:r>
              <w:rPr>
                <w:rFonts w:eastAsia="Calibri" w:cs="Times New Roman" w:ascii="Times New Roman" w:hAnsi="Times New Roman"/>
              </w:rPr>
              <w:t>3.3. Енергетично безпечна територія</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t>√</w:t>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r>
      <w:tr>
        <w:trPr>
          <w:trHeight w:val="584" w:hRule="atLeast"/>
        </w:trPr>
        <w:tc>
          <w:tcPr>
            <w:tcW w:w="3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exact" w:line="200" w:before="0" w:after="0"/>
              <w:ind w:left="176" w:hanging="176"/>
              <w:rPr>
                <w:rFonts w:ascii="Times New Roman" w:hAnsi="Times New Roman" w:eastAsia="Calibri" w:cs="Times New Roman"/>
              </w:rPr>
            </w:pPr>
            <w:r>
              <w:rPr>
                <w:rFonts w:eastAsia="Calibri" w:cs="Times New Roman" w:ascii="Times New Roman" w:hAnsi="Times New Roman"/>
              </w:rPr>
              <w:t>4.1. Збільшення доданої вартості аговиробництва,  розвиток сільських територій</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t>√</w:t>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BFFFAB"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BFFFAB"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r>
      <w:tr>
        <w:trPr>
          <w:trHeight w:val="439" w:hRule="atLeast"/>
        </w:trPr>
        <w:tc>
          <w:tcPr>
            <w:tcW w:w="3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exact" w:line="200" w:before="0" w:after="0"/>
              <w:ind w:left="176" w:hanging="176"/>
              <w:rPr>
                <w:rFonts w:ascii="Times New Roman" w:hAnsi="Times New Roman" w:eastAsia="Calibri" w:cs="Times New Roman"/>
              </w:rPr>
            </w:pPr>
            <w:r>
              <w:rPr>
                <w:rFonts w:eastAsia="Calibri" w:cs="Times New Roman" w:ascii="Times New Roman" w:hAnsi="Times New Roman"/>
              </w:rPr>
              <w:t>4.2. Розвиток медичного туризму</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r>
              <w:rPr>
                <w:rFonts w:eastAsia="Times New Roman" w:cs="Times New Roman" w:ascii="Times New Roman" w:hAnsi="Times New Roman"/>
                <w:color w:val="1A1A1A"/>
                <w:lang w:eastAsia="uk-UA"/>
              </w:rPr>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AF0E1" w:val="clear"/>
            <w:tcMar>
              <w:left w:w="83" w:type="dxa"/>
            </w:tcMar>
            <w:vAlign w:val="center"/>
          </w:tcPr>
          <w:p>
            <w:pPr>
              <w:pStyle w:val="Normal"/>
              <w:spacing w:lineRule="auto" w:line="240" w:before="0" w:after="0"/>
              <w:jc w:val="center"/>
              <w:rPr>
                <w:rFonts w:ascii="Times New Roman" w:hAnsi="Times New Roman" w:eastAsia="Times New Roman" w:cs="Times New Roman"/>
                <w:color w:val="1A1A1A"/>
                <w:lang w:eastAsia="uk-UA"/>
              </w:rPr>
            </w:pPr>
            <w:bookmarkStart w:id="132" w:name="OLE_LINK22"/>
            <w:bookmarkStart w:id="133" w:name="OLE_LINK23"/>
            <w:bookmarkStart w:id="134" w:name="OLE_LINK22"/>
            <w:bookmarkStart w:id="135" w:name="OLE_LINK23"/>
            <w:bookmarkEnd w:id="134"/>
            <w:bookmarkEnd w:id="135"/>
            <w:r>
              <w:rPr>
                <w:rFonts w:eastAsia="Times New Roman" w:cs="Times New Roman" w:ascii="Times New Roman" w:hAnsi="Times New Roman"/>
                <w:color w:val="1A1A1A"/>
                <w:lang w:eastAsia="uk-UA"/>
              </w:rPr>
            </w:r>
          </w:p>
        </w:tc>
      </w:tr>
    </w:tbl>
    <w:p>
      <w:pPr>
        <w:pStyle w:val="Normal"/>
        <w:spacing w:lineRule="auto" w:line="240" w:before="0" w:after="0"/>
        <w:ind w:firstLine="708"/>
        <w:jc w:val="both"/>
        <w:rPr>
          <w:rFonts w:ascii="Times New Roman" w:hAnsi="Times New Roman" w:eastAsia="Calibri" w:cs="Times New Roman"/>
          <w:color w:val="1A1A1A"/>
          <w:sz w:val="16"/>
          <w:szCs w:val="16"/>
        </w:rPr>
      </w:pPr>
      <w:r>
        <w:rPr>
          <w:rFonts w:eastAsia="Calibri" w:cs="Times New Roman" w:ascii="Times New Roman" w:hAnsi="Times New Roman"/>
          <w:color w:val="1A1A1A"/>
          <w:sz w:val="16"/>
          <w:szCs w:val="16"/>
        </w:rPr>
      </w:r>
    </w:p>
    <w:p>
      <w:pPr>
        <w:pStyle w:val="TableTitle"/>
        <w:numPr>
          <w:ilvl w:val="0"/>
          <w:numId w:val="2"/>
        </w:numPr>
        <w:ind w:left="714" w:hanging="357"/>
        <w:rPr/>
      </w:pPr>
      <w:bookmarkStart w:id="136" w:name="_Toc84967206"/>
      <w:bookmarkStart w:id="137" w:name="_Toc360277"/>
      <w:bookmarkStart w:id="138" w:name="_Toc42617133"/>
      <w:r>
        <w:rPr/>
        <w:t>Узгодженість оперативних цілей Стратегії розвитку Каховської територіальної громади на 2022- 2027 роки з оперативними цілями Стратегії розвитку Херсонської області на період 2021-2027 рок</w:t>
      </w:r>
      <w:bookmarkStart w:id="139" w:name="_Hlk43486455"/>
      <w:bookmarkEnd w:id="136"/>
      <w:bookmarkEnd w:id="137"/>
      <w:bookmarkEnd w:id="138"/>
      <w:r>
        <w:rPr/>
        <w:t>ів</w:t>
      </w:r>
    </w:p>
    <w:p>
      <w:pPr>
        <w:pStyle w:val="Normal"/>
        <w:rPr/>
      </w:pPr>
      <w:r>
        <w:rPr/>
      </w:r>
      <w:r>
        <w:br w:type="page"/>
      </w:r>
    </w:p>
    <w:p>
      <w:pPr>
        <w:pStyle w:val="Normal"/>
        <w:keepNext/>
        <w:numPr>
          <w:ilvl w:val="0"/>
          <w:numId w:val="0"/>
        </w:numPr>
        <w:tabs>
          <w:tab w:val="left" w:pos="284" w:leader="none"/>
        </w:tabs>
        <w:spacing w:lineRule="auto" w:line="240" w:before="0" w:after="0"/>
        <w:outlineLvl w:val="0"/>
        <w:rPr>
          <w:rFonts w:ascii="Times New Roman" w:hAnsi="Times New Roman" w:eastAsia="Times New Roman" w:cs="Times New Roman"/>
          <w:b/>
          <w:b/>
          <w:bCs/>
          <w:sz w:val="26"/>
          <w:szCs w:val="26"/>
        </w:rPr>
      </w:pPr>
      <w:bookmarkStart w:id="140" w:name="_Toc360263"/>
      <w:bookmarkStart w:id="141" w:name="_Toc42617124"/>
      <w:bookmarkStart w:id="142" w:name="_Toc84967196"/>
      <w:r>
        <w:rPr>
          <w:rFonts w:eastAsia="Times New Roman" w:cs="Times New Roman" w:ascii="Times New Roman" w:hAnsi="Times New Roman"/>
          <w:b/>
          <w:bCs/>
          <w:sz w:val="26"/>
          <w:szCs w:val="26"/>
          <w:lang w:val="en-US"/>
        </w:rPr>
        <w:t>VI</w:t>
      </w:r>
      <w:bookmarkEnd w:id="140"/>
      <w:bookmarkEnd w:id="141"/>
      <w:bookmarkEnd w:id="142"/>
      <w:r>
        <w:rPr>
          <w:rFonts w:eastAsia="Times New Roman" w:cs="Times New Roman" w:ascii="Times New Roman" w:hAnsi="Times New Roman"/>
          <w:b/>
          <w:bCs/>
          <w:sz w:val="26"/>
          <w:szCs w:val="26"/>
        </w:rPr>
        <w:t>. ЕТАПИ ТА МЕХАНІЗМИ РЕАЛІЗАЦІЇ СТРАТЕГІЇ</w:t>
      </w:r>
    </w:p>
    <w:p>
      <w:pPr>
        <w:pStyle w:val="Normal"/>
        <w:spacing w:lineRule="auto" w:line="240" w:before="0" w:after="0"/>
        <w:jc w:val="both"/>
        <w:rPr>
          <w:rFonts w:ascii="Times New Roman" w:hAnsi="Times New Roman" w:eastAsia="Calibri" w:cs="Times New Roman"/>
        </w:rPr>
      </w:pPr>
      <w:r>
        <w:rPr>
          <w:rFonts w:eastAsia="Calibri" w:cs="Times New Roman" w:ascii="Times New Roman" w:hAnsi="Times New Roman"/>
        </w:rPr>
      </w:r>
    </w:p>
    <w:p>
      <w:pPr>
        <w:pStyle w:val="Normal"/>
        <w:spacing w:lineRule="auto" w:line="240" w:before="0" w:after="0"/>
        <w:ind w:firstLine="708"/>
        <w:jc w:val="both"/>
        <w:rPr>
          <w:rFonts w:ascii="Times New Roman" w:hAnsi="Times New Roman" w:eastAsia="Calibri" w:cs="Times New Roman"/>
          <w:sz w:val="24"/>
          <w:szCs w:val="24"/>
        </w:rPr>
      </w:pPr>
      <w:bookmarkStart w:id="143" w:name="_Hlk84339424"/>
      <w:bookmarkEnd w:id="139"/>
      <w:bookmarkEnd w:id="143"/>
      <w:r>
        <w:rPr>
          <w:rFonts w:eastAsia="Calibri" w:cs="Times New Roman" w:ascii="Times New Roman" w:hAnsi="Times New Roman"/>
          <w:sz w:val="24"/>
          <w:szCs w:val="24"/>
        </w:rPr>
        <w:t>З урахуванням етапності Стратегії розвитку Херсонської області на період 2021-2027 років та зважаючи на брак досвіду середньострокового планування Каховська громада планує перший етап реалізації стратегії протягом 2022-2024 років.</w:t>
      </w:r>
    </w:p>
    <w:p>
      <w:pPr>
        <w:pStyle w:val="Normal"/>
        <w:spacing w:lineRule="auto" w:line="240" w:before="0" w:after="0"/>
        <w:ind w:firstLine="708"/>
        <w:jc w:val="both"/>
        <w:rPr>
          <w:rFonts w:ascii="Times New Roman" w:hAnsi="Times New Roman" w:eastAsia="Calibri" w:cs="Times New Roman"/>
          <w:sz w:val="24"/>
          <w:szCs w:val="24"/>
        </w:rPr>
      </w:pPr>
      <w:r>
        <w:rPr>
          <w:rFonts w:eastAsia="Calibri" w:cs="Times New Roman" w:ascii="Times New Roman" w:hAnsi="Times New Roman"/>
          <w:sz w:val="24"/>
          <w:szCs w:val="24"/>
        </w:rPr>
        <w:t>До плану реалізації першого етапу відібрано 81 захід і проєктних ідей, що наповнюють усі завдання, оперативні та стратегічні цілі.</w:t>
      </w:r>
    </w:p>
    <w:p>
      <w:pPr>
        <w:pStyle w:val="Normal"/>
        <w:spacing w:lineRule="auto" w:line="240" w:before="0" w:after="0"/>
        <w:ind w:firstLine="708"/>
        <w:jc w:val="both"/>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keepNext/>
        <w:keepLines/>
        <w:tabs>
          <w:tab w:val="left" w:pos="1058" w:leader="none"/>
        </w:tabs>
        <w:suppressAutoHyphens w:val="true"/>
        <w:spacing w:lineRule="auto" w:line="240" w:before="0" w:after="0"/>
        <w:ind w:left="2268" w:hanging="2268"/>
        <w:rPr>
          <w:rFonts w:ascii="Times New Roman" w:hAnsi="Times New Roman" w:eastAsia="Times New Roman" w:cs="Times New Roman"/>
          <w:b/>
          <w:b/>
          <w:bCs/>
          <w:color w:val="618C02"/>
          <w:sz w:val="24"/>
          <w:szCs w:val="24"/>
        </w:rPr>
      </w:pPr>
      <w:bookmarkStart w:id="144" w:name="_Hlk84712214"/>
      <w:bookmarkStart w:id="145" w:name="_Hlk843394241"/>
      <w:bookmarkEnd w:id="144"/>
      <w:bookmarkEnd w:id="145"/>
      <w:r>
        <w:rPr>
          <w:rFonts w:eastAsia="Times New Roman" w:cs="Times New Roman" w:ascii="Times New Roman" w:hAnsi="Times New Roman"/>
          <w:b/>
          <w:bCs/>
          <w:color w:val="618C02"/>
          <w:sz w:val="24"/>
          <w:szCs w:val="24"/>
        </w:rPr>
        <w:t>Стратегічна ціль 1. Економічний розвиток Каховської громади</w:t>
      </w:r>
    </w:p>
    <w:p>
      <w:pPr>
        <w:pStyle w:val="Normal"/>
        <w:spacing w:lineRule="auto" w:line="240" w:before="0" w:after="0"/>
        <w:ind w:firstLine="708"/>
        <w:jc w:val="both"/>
        <w:rPr>
          <w:rFonts w:ascii="Times New Roman" w:hAnsi="Times New Roman" w:eastAsia="Calibri" w:cs="Times New Roman"/>
          <w:sz w:val="16"/>
          <w:szCs w:val="16"/>
        </w:rPr>
      </w:pPr>
      <w:r>
        <w:rPr>
          <w:rFonts w:eastAsia="Calibri" w:cs="Times New Roman" w:ascii="Times New Roman" w:hAnsi="Times New Roman"/>
          <w:sz w:val="16"/>
          <w:szCs w:val="16"/>
        </w:rPr>
      </w:r>
    </w:p>
    <w:tbl>
      <w:tblPr>
        <w:tblW w:w="10065" w:type="dxa"/>
        <w:jc w:val="left"/>
        <w:tblInd w:w="-3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5" w:type="dxa"/>
          <w:bottom w:w="0" w:type="dxa"/>
          <w:right w:w="108" w:type="dxa"/>
        </w:tblCellMar>
        <w:tblLook w:val="01e0" w:noVBand="0" w:noHBand="0" w:lastColumn="1" w:firstColumn="1" w:lastRow="1" w:firstRow="1"/>
      </w:tblPr>
      <w:tblGrid>
        <w:gridCol w:w="1695"/>
        <w:gridCol w:w="1985"/>
        <w:gridCol w:w="6385"/>
      </w:tblGrid>
      <w:tr>
        <w:trPr>
          <w:trHeight w:val="496" w:hRule="atLeast"/>
        </w:trPr>
        <w:tc>
          <w:tcPr>
            <w:tcW w:w="16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143" w:hanging="0"/>
              <w:jc w:val="center"/>
              <w:rPr>
                <w:rFonts w:ascii="Times New Roman" w:hAnsi="Times New Roman" w:eastAsia="Calibri" w:cs="Times New Roman"/>
                <w:b/>
                <w:b/>
                <w:color w:val="00000A"/>
                <w:sz w:val="24"/>
                <w:szCs w:val="24"/>
              </w:rPr>
            </w:pPr>
            <w:r>
              <w:rPr>
                <w:rFonts w:eastAsia="Calibri" w:cs="Times New Roman" w:ascii="Times New Roman" w:hAnsi="Times New Roman"/>
                <w:b/>
                <w:color w:val="00000A"/>
                <w:sz w:val="24"/>
                <w:szCs w:val="24"/>
              </w:rPr>
              <w:t>Оперативні цілі</w:t>
            </w:r>
          </w:p>
        </w:tc>
        <w:tc>
          <w:tcPr>
            <w:tcW w:w="19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61" w:hanging="0"/>
              <w:jc w:val="center"/>
              <w:rPr>
                <w:rFonts w:ascii="Times New Roman" w:hAnsi="Times New Roman" w:eastAsia="Calibri" w:cs="Times New Roman"/>
                <w:b/>
                <w:b/>
                <w:color w:val="00000A"/>
                <w:sz w:val="24"/>
                <w:szCs w:val="24"/>
              </w:rPr>
            </w:pPr>
            <w:r>
              <w:rPr>
                <w:rFonts w:eastAsia="Calibri" w:cs="Times New Roman" w:ascii="Times New Roman" w:hAnsi="Times New Roman"/>
                <w:b/>
                <w:color w:val="00000A"/>
                <w:sz w:val="24"/>
                <w:szCs w:val="24"/>
              </w:rPr>
              <w:t>Завдання Стратегії</w:t>
            </w:r>
          </w:p>
        </w:tc>
        <w:tc>
          <w:tcPr>
            <w:tcW w:w="63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61" w:hanging="0"/>
              <w:jc w:val="center"/>
              <w:rPr>
                <w:rFonts w:ascii="Times New Roman" w:hAnsi="Times New Roman" w:eastAsia="Calibri" w:cs="Times New Roman"/>
                <w:b/>
                <w:b/>
                <w:color w:val="00000A"/>
                <w:sz w:val="24"/>
                <w:szCs w:val="24"/>
              </w:rPr>
            </w:pPr>
            <w:r>
              <w:rPr>
                <w:rFonts w:eastAsia="Calibri" w:cs="Times New Roman" w:ascii="Times New Roman" w:hAnsi="Times New Roman"/>
                <w:b/>
                <w:color w:val="00000A"/>
                <w:sz w:val="24"/>
                <w:szCs w:val="24"/>
              </w:rPr>
              <w:t>Номер і назва проекту</w:t>
            </w:r>
          </w:p>
        </w:tc>
      </w:tr>
      <w:tr>
        <w:trPr>
          <w:trHeight w:val="675" w:hRule="atLeast"/>
        </w:trPr>
        <w:tc>
          <w:tcPr>
            <w:tcW w:w="169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143" w:hanging="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 xml:space="preserve">1.1. Створення сприятливого середовища для розвитку місцевого бізнесу </w:t>
            </w:r>
          </w:p>
        </w:tc>
        <w:tc>
          <w:tcPr>
            <w:tcW w:w="19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61" w:hanging="0"/>
              <w:rPr>
                <w:rFonts w:ascii="Times New Roman" w:hAnsi="Times New Roman" w:eastAsia="Calibri" w:cs="Times New Roman"/>
                <w:color w:val="00000A"/>
                <w:sz w:val="24"/>
                <w:szCs w:val="24"/>
              </w:rPr>
            </w:pPr>
            <w:r>
              <w:rPr>
                <w:rFonts w:eastAsia="Arial" w:cs="Times New Roman" w:ascii="Times New Roman" w:hAnsi="Times New Roman"/>
                <w:color w:val="00000A"/>
                <w:sz w:val="24"/>
                <w:szCs w:val="24"/>
                <w:highlight w:val="white"/>
              </w:rPr>
              <w:t>1.1.1. Забезпечення діалогу між владою, бізнесом та громадою</w:t>
            </w:r>
          </w:p>
        </w:tc>
        <w:tc>
          <w:tcPr>
            <w:tcW w:w="63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61" w:hanging="0"/>
              <w:contextualSpacing/>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 xml:space="preserve">1. Розробка та реалізація Програми </w:t>
            </w:r>
            <w:bookmarkStart w:id="146" w:name="_Hlk84674033"/>
            <w:r>
              <w:rPr>
                <w:rFonts w:eastAsia="Calibri" w:cs="Times New Roman" w:ascii="Times New Roman" w:hAnsi="Times New Roman"/>
                <w:color w:val="00000A"/>
                <w:sz w:val="24"/>
                <w:szCs w:val="24"/>
              </w:rPr>
              <w:t xml:space="preserve">підтримки малого та середнього підприємництва </w:t>
            </w:r>
            <w:bookmarkEnd w:id="146"/>
            <w:r>
              <w:rPr>
                <w:rFonts w:eastAsia="Calibri" w:cs="Times New Roman" w:ascii="Times New Roman" w:hAnsi="Times New Roman"/>
                <w:color w:val="00000A"/>
                <w:sz w:val="24"/>
                <w:szCs w:val="24"/>
              </w:rPr>
              <w:t>2022-2024 роки (Дерегуляція бізнесу( скасування бар’єрів для малого та середнього бізнесу); Інформаційна підтримка бізнесу)</w:t>
            </w:r>
          </w:p>
        </w:tc>
      </w:tr>
      <w:tr>
        <w:trPr>
          <w:trHeight w:val="917" w:hRule="atLeast"/>
        </w:trPr>
        <w:tc>
          <w:tcPr>
            <w:tcW w:w="16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143" w:hanging="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r>
          </w:p>
        </w:tc>
        <w:tc>
          <w:tcPr>
            <w:tcW w:w="19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61" w:hanging="0"/>
              <w:rPr>
                <w:rFonts w:ascii="Times New Roman" w:hAnsi="Times New Roman" w:eastAsia="Calibri" w:cs="Times New Roman"/>
                <w:color w:val="00000A"/>
                <w:sz w:val="24"/>
                <w:szCs w:val="24"/>
              </w:rPr>
            </w:pPr>
            <w:r>
              <w:rPr>
                <w:rFonts w:eastAsia="Arial" w:cs="Times New Roman" w:ascii="Times New Roman" w:hAnsi="Times New Roman"/>
                <w:color w:val="00000A"/>
                <w:sz w:val="24"/>
                <w:szCs w:val="24"/>
                <w:highlight w:val="white"/>
              </w:rPr>
              <w:t>1.1.2. Підвищення якості Е- врядування</w:t>
            </w:r>
          </w:p>
        </w:tc>
        <w:tc>
          <w:tcPr>
            <w:tcW w:w="63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tabs>
                <w:tab w:val="left" w:pos="317" w:leader="none"/>
              </w:tabs>
              <w:spacing w:lineRule="auto" w:line="240" w:before="0" w:after="0"/>
              <w:ind w:left="61" w:hanging="0"/>
              <w:contextualSpacing/>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2.О</w:t>
            </w:r>
            <w:r>
              <w:rPr>
                <w:rFonts w:eastAsia="Arial" w:cs="Times New Roman" w:ascii="Times New Roman" w:hAnsi="Times New Roman"/>
                <w:color w:val="00000A"/>
                <w:sz w:val="24"/>
                <w:szCs w:val="24"/>
                <w:highlight w:val="white"/>
              </w:rPr>
              <w:t>хоплення системою безпаперового документообігу всіх суб’єктів громади з використанням електронного цифрового підпису та інших систем ідентифікації</w:t>
            </w:r>
          </w:p>
        </w:tc>
      </w:tr>
      <w:tr>
        <w:trPr>
          <w:trHeight w:val="1163" w:hRule="atLeast"/>
        </w:trPr>
        <w:tc>
          <w:tcPr>
            <w:tcW w:w="16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143" w:hanging="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r>
          </w:p>
        </w:tc>
        <w:tc>
          <w:tcPr>
            <w:tcW w:w="19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61" w:hanging="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1.1.3.</w:t>
            </w:r>
          </w:p>
          <w:p>
            <w:pPr>
              <w:pStyle w:val="Normal"/>
              <w:spacing w:lineRule="auto" w:line="240" w:before="0" w:after="0"/>
              <w:ind w:left="61" w:hanging="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highlight w:val="white"/>
              </w:rPr>
              <w:t>Адміністративні послуги</w:t>
            </w:r>
          </w:p>
        </w:tc>
        <w:tc>
          <w:tcPr>
            <w:tcW w:w="63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tabs>
                <w:tab w:val="left" w:pos="317" w:leader="none"/>
              </w:tabs>
              <w:spacing w:lineRule="auto" w:line="240" w:before="0" w:after="0"/>
              <w:ind w:left="61" w:hanging="0"/>
              <w:contextualSpacing/>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3. Реконструкція та облаштування Центру надання адміністративних послуг</w:t>
            </w:r>
          </w:p>
          <w:p>
            <w:pPr>
              <w:pStyle w:val="Normal"/>
              <w:tabs>
                <w:tab w:val="left" w:pos="317" w:leader="none"/>
              </w:tabs>
              <w:spacing w:lineRule="auto" w:line="240" w:before="0" w:after="0"/>
              <w:ind w:left="61" w:hanging="0"/>
              <w:contextualSpacing/>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4. Розширення та підвищення якості та доступності публічних послуг для громадян та бізнесу, спрощення процедур і скорочення адміністративних витрат</w:t>
            </w:r>
          </w:p>
        </w:tc>
      </w:tr>
      <w:tr>
        <w:trPr/>
        <w:tc>
          <w:tcPr>
            <w:tcW w:w="169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143" w:hanging="0"/>
              <w:rPr>
                <w:rFonts w:ascii="Times New Roman" w:hAnsi="Times New Roman" w:eastAsia="Calibri" w:cs="Times New Roman"/>
                <w:color w:val="00000A"/>
                <w:sz w:val="24"/>
                <w:szCs w:val="24"/>
              </w:rPr>
            </w:pPr>
            <w:r>
              <w:rPr>
                <w:rFonts w:eastAsia="Calibri" w:cs="Times New Roman" w:ascii="Times New Roman" w:hAnsi="Times New Roman"/>
                <w:bCs/>
                <w:color w:val="00000A"/>
                <w:sz w:val="24"/>
                <w:szCs w:val="24"/>
              </w:rPr>
              <w:t>1.2. Розвиток інвестиційного клімату громади</w:t>
            </w:r>
          </w:p>
        </w:tc>
        <w:tc>
          <w:tcPr>
            <w:tcW w:w="19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61" w:hanging="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highlight w:val="white"/>
              </w:rPr>
              <w:t>1.2.1. Актуалізація документів просторового планування</w:t>
            </w:r>
          </w:p>
        </w:tc>
        <w:tc>
          <w:tcPr>
            <w:tcW w:w="63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61" w:hanging="0"/>
              <w:contextualSpacing/>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5. Розроблення Комплексного плану просторового розвитку території  Каховської міської територіальної громади:</w:t>
            </w:r>
          </w:p>
          <w:p>
            <w:pPr>
              <w:pStyle w:val="Normal"/>
              <w:spacing w:lineRule="auto" w:line="240" w:before="0" w:after="0"/>
              <w:ind w:left="61" w:hanging="0"/>
              <w:jc w:val="both"/>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w:t>
            </w:r>
            <w:r>
              <w:rPr>
                <w:rFonts w:eastAsia="Calibri" w:cs="Times New Roman" w:ascii="Times New Roman" w:hAnsi="Times New Roman"/>
                <w:color w:val="00000A"/>
                <w:sz w:val="24"/>
                <w:szCs w:val="24"/>
                <w:highlight w:val="white"/>
              </w:rPr>
              <w:t xml:space="preserve"> Актуалізація картографо-геодезичної основи.</w:t>
            </w:r>
          </w:p>
          <w:p>
            <w:pPr>
              <w:pStyle w:val="Normal"/>
              <w:spacing w:lineRule="auto" w:line="240" w:before="0" w:after="0"/>
              <w:ind w:left="61" w:hanging="0"/>
              <w:jc w:val="both"/>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highlight w:val="white"/>
              </w:rPr>
              <w:t>-</w:t>
            </w:r>
            <w:r>
              <w:rPr>
                <w:rFonts w:eastAsia="Calibri" w:cs="Times New Roman" w:ascii="Times New Roman" w:hAnsi="Times New Roman"/>
                <w:color w:val="00000A"/>
                <w:sz w:val="24"/>
                <w:szCs w:val="24"/>
              </w:rPr>
              <w:t xml:space="preserve"> Розроблення землевпорядної частини комплексного плану просторового розвитку території громади (площа 195,4 км²).</w:t>
            </w:r>
          </w:p>
          <w:p>
            <w:pPr>
              <w:pStyle w:val="Normal"/>
              <w:spacing w:lineRule="auto" w:line="240" w:before="0" w:after="0"/>
              <w:ind w:left="61" w:hanging="0"/>
              <w:jc w:val="both"/>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 Розроблення частини комплексного плану просторового розвитку території громади (площа 195,4 км²).</w:t>
            </w:r>
          </w:p>
        </w:tc>
      </w:tr>
      <w:tr>
        <w:trPr>
          <w:trHeight w:val="645" w:hRule="atLeast"/>
        </w:trPr>
        <w:tc>
          <w:tcPr>
            <w:tcW w:w="16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143" w:hanging="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r>
          </w:p>
        </w:tc>
        <w:tc>
          <w:tcPr>
            <w:tcW w:w="19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61" w:hanging="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highlight w:val="white"/>
              </w:rPr>
              <w:t>1.2.2. Просування інвестиційних можливостей громади (інвест паспорт, земля, проекти)</w:t>
            </w:r>
          </w:p>
        </w:tc>
        <w:tc>
          <w:tcPr>
            <w:tcW w:w="63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61" w:hanging="0"/>
              <w:contextualSpacing/>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6. Проведення інвентаризації земельних ділянок сільськогосподарського призначення</w:t>
            </w:r>
          </w:p>
          <w:p>
            <w:pPr>
              <w:pStyle w:val="Normal"/>
              <w:spacing w:lineRule="auto" w:line="240" w:before="0" w:after="0"/>
              <w:ind w:left="61" w:hanging="0"/>
              <w:contextualSpacing/>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 xml:space="preserve">7. Розробка та реалізація Програми </w:t>
            </w:r>
            <w:r>
              <w:rPr>
                <w:rFonts w:eastAsia="Calibri" w:cs="Times New Roman" w:ascii="Times New Roman" w:hAnsi="Times New Roman"/>
                <w:color w:val="000000"/>
                <w:sz w:val="24"/>
                <w:szCs w:val="24"/>
              </w:rPr>
              <w:t>залучення інвестицій в економіку Каховської ТГ на 2022-2024 роки:(Розробка інвестиційного паспорта громади, стимулювання реалізації інвестиційних проєктів)</w:t>
            </w:r>
          </w:p>
        </w:tc>
      </w:tr>
      <w:tr>
        <w:trPr>
          <w:trHeight w:val="1014" w:hRule="atLeast"/>
        </w:trPr>
        <w:tc>
          <w:tcPr>
            <w:tcW w:w="16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143" w:hanging="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r>
          </w:p>
        </w:tc>
        <w:tc>
          <w:tcPr>
            <w:tcW w:w="19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61" w:hanging="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highlight w:val="white"/>
              </w:rPr>
              <w:t>1.2.3. Розвиток аграрно-промислового комплексу</w:t>
            </w:r>
          </w:p>
        </w:tc>
        <w:tc>
          <w:tcPr>
            <w:tcW w:w="63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tabs>
                <w:tab w:val="left" w:pos="317" w:leader="none"/>
              </w:tabs>
              <w:spacing w:lineRule="auto" w:line="240" w:before="0" w:after="0"/>
              <w:ind w:left="61" w:hanging="0"/>
              <w:contextualSpacing/>
              <w:jc w:val="both"/>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8. Розробка та ухвалення цільової Програми стимулювання зайнятості та розвитку сільського господарства на 2022-2024 роки</w:t>
            </w:r>
          </w:p>
          <w:p>
            <w:pPr>
              <w:pStyle w:val="Normal"/>
              <w:tabs>
                <w:tab w:val="left" w:pos="317" w:leader="none"/>
              </w:tabs>
              <w:spacing w:lineRule="auto" w:line="240" w:before="0" w:after="0"/>
              <w:ind w:left="61" w:hanging="0"/>
              <w:contextualSpacing/>
              <w:jc w:val="both"/>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 xml:space="preserve">9. </w:t>
            </w:r>
            <w:bookmarkStart w:id="147" w:name="_Hlk84675640"/>
            <w:bookmarkEnd w:id="147"/>
            <w:r>
              <w:rPr>
                <w:rFonts w:eastAsia="Calibri" w:cs="Times New Roman" w:ascii="Times New Roman" w:hAnsi="Times New Roman"/>
                <w:color w:val="00000A"/>
                <w:sz w:val="24"/>
                <w:szCs w:val="24"/>
              </w:rPr>
              <w:t>Відновлення та раціональне використання меліоративної системи</w:t>
            </w:r>
          </w:p>
        </w:tc>
      </w:tr>
      <w:tr>
        <w:trPr>
          <w:trHeight w:val="1014" w:hRule="atLeast"/>
        </w:trPr>
        <w:tc>
          <w:tcPr>
            <w:tcW w:w="169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143" w:hanging="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1.3. Економіка вражень, економіка сенсів: нова економічна пропозиція для створення сильних територіальних брендів на основі використання історико-культурної спадщини</w:t>
            </w:r>
          </w:p>
        </w:tc>
        <w:tc>
          <w:tcPr>
            <w:tcW w:w="19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61" w:hanging="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highlight w:val="white"/>
              </w:rPr>
              <w:t>1.3.1. Створення умов для розвитку туристичного бізнесу</w:t>
            </w:r>
          </w:p>
        </w:tc>
        <w:tc>
          <w:tcPr>
            <w:tcW w:w="63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61" w:hanging="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10. Створення туристичного веломаршруту "Каховка - Сосновий бір"</w:t>
            </w:r>
          </w:p>
          <w:p>
            <w:pPr>
              <w:pStyle w:val="Normal"/>
              <w:spacing w:lineRule="auto" w:line="240" w:before="0" w:after="0"/>
              <w:ind w:left="61" w:hanging="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11. Створення електронних реєстрів історичних і культурних об'єктів, локацій, атракцій</w:t>
            </w:r>
          </w:p>
          <w:p>
            <w:pPr>
              <w:pStyle w:val="Normal"/>
              <w:spacing w:lineRule="auto" w:line="240" w:before="0" w:after="0"/>
              <w:ind w:left="61" w:hanging="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 xml:space="preserve">12. Інвентаризація туристичних ресурсів (культурних об'єктів, локацій, атракцій) </w:t>
            </w:r>
          </w:p>
          <w:p>
            <w:pPr>
              <w:pStyle w:val="Normal"/>
              <w:spacing w:lineRule="auto" w:line="240" w:before="0" w:after="0"/>
              <w:ind w:left="61" w:hanging="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13. «Місто Майстрів: Сприяння розвитку туризму шляхом популяризації народних промислів та ремесел»</w:t>
            </w:r>
          </w:p>
          <w:p>
            <w:pPr>
              <w:pStyle w:val="Normal"/>
              <w:spacing w:lineRule="auto" w:line="240" w:before="0" w:after="0"/>
              <w:ind w:left="61" w:hanging="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14. Створення мотузкового парку в м. Каховка</w:t>
            </w:r>
          </w:p>
          <w:p>
            <w:pPr>
              <w:pStyle w:val="Normal"/>
              <w:spacing w:lineRule="auto" w:line="240" w:before="0" w:after="0"/>
              <w:ind w:left="61" w:hanging="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15. Навчання/підвищення кваліфікації гідів, екскурсоводів, тур агентів</w:t>
            </w:r>
          </w:p>
          <w:p>
            <w:pPr>
              <w:pStyle w:val="Normal"/>
              <w:spacing w:lineRule="auto" w:line="240" w:before="0" w:after="0"/>
              <w:ind w:left="61" w:hanging="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16. Розвиток гончарства</w:t>
            </w:r>
          </w:p>
          <w:p>
            <w:pPr>
              <w:pStyle w:val="Normal"/>
              <w:spacing w:lineRule="auto" w:line="240" w:before="0" w:after="0"/>
              <w:ind w:left="61" w:hanging="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17. Розвиток зеленого та гастрономічного туризму в сільській місцевості</w:t>
            </w:r>
          </w:p>
          <w:p>
            <w:pPr>
              <w:pStyle w:val="Normal"/>
              <w:spacing w:lineRule="auto" w:line="240" w:before="0" w:after="0"/>
              <w:ind w:left="61" w:hanging="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18. Розробка Стратегії розвитку туризму Каховської міської територіальної громади</w:t>
            </w:r>
          </w:p>
        </w:tc>
      </w:tr>
      <w:tr>
        <w:trPr>
          <w:trHeight w:val="1014" w:hRule="atLeast"/>
        </w:trPr>
        <w:tc>
          <w:tcPr>
            <w:tcW w:w="16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143" w:hanging="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r>
          </w:p>
        </w:tc>
        <w:tc>
          <w:tcPr>
            <w:tcW w:w="19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61" w:hanging="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1.3.2. Маркетинг та брендинг території громади</w:t>
            </w:r>
          </w:p>
        </w:tc>
        <w:tc>
          <w:tcPr>
            <w:tcW w:w="63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61" w:hanging="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19. Стратегія позиціонування, брендингу та цифрового маркетингу для просування туристичних пропозицій громади</w:t>
            </w:r>
          </w:p>
        </w:tc>
      </w:tr>
    </w:tbl>
    <w:p>
      <w:pPr>
        <w:pStyle w:val="Normal"/>
        <w:spacing w:lineRule="auto" w:line="240" w:before="0" w:after="0"/>
        <w:rPr>
          <w:rFonts w:ascii="Times New Roman" w:hAnsi="Times New Roman" w:eastAsia="Times New Roman" w:cs="Times New Roman"/>
          <w:b/>
          <w:b/>
          <w:bCs/>
          <w:color w:val="1F497D"/>
          <w:sz w:val="24"/>
          <w:szCs w:val="24"/>
        </w:rPr>
      </w:pPr>
      <w:r>
        <w:rPr>
          <w:rFonts w:eastAsia="Times New Roman" w:cs="Times New Roman" w:ascii="Times New Roman" w:hAnsi="Times New Roman"/>
          <w:b/>
          <w:bCs/>
          <w:color w:val="1F497D"/>
          <w:sz w:val="24"/>
          <w:szCs w:val="24"/>
        </w:rPr>
      </w:r>
    </w:p>
    <w:p>
      <w:pPr>
        <w:pStyle w:val="Normal"/>
        <w:spacing w:lineRule="auto" w:line="240" w:before="0" w:after="0"/>
        <w:rPr>
          <w:rFonts w:ascii="Times New Roman" w:hAnsi="Times New Roman" w:eastAsia="Times New Roman" w:cs="Times New Roman"/>
          <w:b/>
          <w:b/>
          <w:bCs/>
          <w:color w:val="C47500"/>
          <w:sz w:val="24"/>
          <w:szCs w:val="24"/>
        </w:rPr>
      </w:pPr>
      <w:r>
        <w:rPr>
          <w:rFonts w:eastAsia="Times New Roman" w:cs="Times New Roman" w:ascii="Times New Roman" w:hAnsi="Times New Roman"/>
          <w:b/>
          <w:bCs/>
          <w:color w:val="C47500"/>
          <w:sz w:val="24"/>
          <w:szCs w:val="24"/>
        </w:rPr>
        <w:t xml:space="preserve">Стратегічна ціль 2. Розвиток людського капіталу та соціальної інфраструктури </w:t>
      </w:r>
    </w:p>
    <w:p>
      <w:pPr>
        <w:pStyle w:val="Normal"/>
        <w:spacing w:lineRule="auto" w:line="240" w:before="0" w:after="0"/>
        <w:rPr>
          <w:rFonts w:ascii="Times New Roman" w:hAnsi="Times New Roman" w:eastAsia="Calibri" w:cs="Times New Roman"/>
          <w:color w:val="EA8B00"/>
          <w:sz w:val="24"/>
          <w:szCs w:val="24"/>
        </w:rPr>
      </w:pPr>
      <w:r>
        <w:rPr>
          <w:rFonts w:eastAsia="Calibri" w:cs="Times New Roman" w:ascii="Times New Roman" w:hAnsi="Times New Roman"/>
          <w:color w:val="EA8B00"/>
          <w:sz w:val="24"/>
          <w:szCs w:val="24"/>
        </w:rPr>
      </w:r>
    </w:p>
    <w:tbl>
      <w:tblPr>
        <w:tblW w:w="10065" w:type="dxa"/>
        <w:jc w:val="left"/>
        <w:tblInd w:w="-3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5" w:type="dxa"/>
          <w:bottom w:w="0" w:type="dxa"/>
          <w:right w:w="108" w:type="dxa"/>
        </w:tblCellMar>
        <w:tblLook w:val="01e0" w:noVBand="0" w:noHBand="0" w:lastColumn="1" w:firstColumn="1" w:lastRow="1" w:firstRow="1"/>
      </w:tblPr>
      <w:tblGrid>
        <w:gridCol w:w="1695"/>
        <w:gridCol w:w="2005"/>
        <w:gridCol w:w="6365"/>
      </w:tblGrid>
      <w:tr>
        <w:trPr>
          <w:trHeight w:val="679" w:hRule="atLeast"/>
        </w:trPr>
        <w:tc>
          <w:tcPr>
            <w:tcW w:w="16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289" w:hanging="0"/>
              <w:jc w:val="center"/>
              <w:rPr>
                <w:rFonts w:ascii="Times New Roman" w:hAnsi="Times New Roman" w:eastAsia="Calibri" w:cs="Times New Roman"/>
                <w:b/>
                <w:b/>
                <w:color w:val="00000A"/>
                <w:sz w:val="24"/>
                <w:szCs w:val="24"/>
              </w:rPr>
            </w:pPr>
            <w:r>
              <w:rPr>
                <w:rFonts w:eastAsia="Calibri" w:cs="Times New Roman" w:ascii="Times New Roman" w:hAnsi="Times New Roman"/>
                <w:b/>
                <w:color w:val="00000A"/>
                <w:sz w:val="24"/>
                <w:szCs w:val="24"/>
              </w:rPr>
              <w:t>Оперативні цілі</w:t>
            </w:r>
          </w:p>
        </w:tc>
        <w:tc>
          <w:tcPr>
            <w:tcW w:w="20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111" w:hanging="0"/>
              <w:jc w:val="center"/>
              <w:rPr>
                <w:rFonts w:ascii="Times New Roman" w:hAnsi="Times New Roman" w:eastAsia="Calibri" w:cs="Times New Roman"/>
                <w:b/>
                <w:b/>
                <w:color w:val="00000A"/>
                <w:sz w:val="24"/>
                <w:szCs w:val="24"/>
              </w:rPr>
            </w:pPr>
            <w:r>
              <w:rPr>
                <w:rFonts w:eastAsia="Calibri" w:cs="Times New Roman" w:ascii="Times New Roman" w:hAnsi="Times New Roman"/>
                <w:b/>
                <w:color w:val="00000A"/>
                <w:sz w:val="24"/>
                <w:szCs w:val="24"/>
              </w:rPr>
              <w:t>Завдання Стратегії</w:t>
            </w:r>
          </w:p>
        </w:tc>
        <w:tc>
          <w:tcPr>
            <w:tcW w:w="63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53" w:hanging="0"/>
              <w:jc w:val="center"/>
              <w:rPr>
                <w:rFonts w:ascii="Times New Roman" w:hAnsi="Times New Roman" w:eastAsia="Calibri" w:cs="Times New Roman"/>
                <w:b/>
                <w:b/>
                <w:color w:val="00000A"/>
                <w:sz w:val="24"/>
                <w:szCs w:val="24"/>
              </w:rPr>
            </w:pPr>
            <w:r>
              <w:rPr>
                <w:rFonts w:eastAsia="Calibri" w:cs="Times New Roman" w:ascii="Times New Roman" w:hAnsi="Times New Roman"/>
                <w:b/>
                <w:color w:val="00000A"/>
                <w:sz w:val="24"/>
                <w:szCs w:val="24"/>
              </w:rPr>
              <w:t>Номер і назва проекту</w:t>
            </w:r>
          </w:p>
        </w:tc>
      </w:tr>
      <w:tr>
        <w:trPr>
          <w:trHeight w:val="904" w:hRule="atLeast"/>
        </w:trPr>
        <w:tc>
          <w:tcPr>
            <w:tcW w:w="169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143" w:hanging="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2.1. Розвиток освітньої галузі громади</w:t>
            </w:r>
          </w:p>
        </w:tc>
        <w:tc>
          <w:tcPr>
            <w:tcW w:w="20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111" w:hanging="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2.1.1. Надання якісних сучасних освітніх послуг</w:t>
            </w:r>
          </w:p>
        </w:tc>
        <w:tc>
          <w:tcPr>
            <w:tcW w:w="63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53" w:hanging="0"/>
              <w:contextualSpacing/>
              <w:rPr>
                <w:rFonts w:ascii="Times New Roman" w:hAnsi="Times New Roman" w:eastAsia="Calibri" w:cs="Times New Roman"/>
                <w:color w:val="00000A"/>
                <w:sz w:val="24"/>
                <w:szCs w:val="24"/>
              </w:rPr>
            </w:pPr>
            <w:r>
              <w:rPr>
                <w:rFonts w:eastAsia="Calibri" w:cs="Times New Roman" w:ascii="Times New Roman" w:hAnsi="Times New Roman"/>
                <w:color w:val="000000"/>
                <w:sz w:val="24"/>
                <w:szCs w:val="24"/>
                <w:highlight w:val="white"/>
              </w:rPr>
              <w:t>20. Створення спроможної мережі освітніх закладів . Створення міського академічного ліцею.</w:t>
            </w:r>
          </w:p>
        </w:tc>
      </w:tr>
      <w:tr>
        <w:trPr>
          <w:trHeight w:val="1113" w:hRule="atLeast"/>
        </w:trPr>
        <w:tc>
          <w:tcPr>
            <w:tcW w:w="16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143" w:hanging="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r>
          </w:p>
        </w:tc>
        <w:tc>
          <w:tcPr>
            <w:tcW w:w="20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111" w:hanging="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2.1.2. Модернізація матеріально-технічної бази закладів освіти</w:t>
            </w:r>
          </w:p>
        </w:tc>
        <w:tc>
          <w:tcPr>
            <w:tcW w:w="63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53" w:hanging="0"/>
              <w:contextualSpacing/>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21. Реконструкція системи опалення будівлі Каховського ЗДО №3 «Веселка» Каховської міської ради з улаштуванням опалювальної системи в існуючому господарському приміщенні</w:t>
            </w:r>
          </w:p>
          <w:p>
            <w:pPr>
              <w:pStyle w:val="Normal"/>
              <w:spacing w:lineRule="auto" w:line="240" w:before="0" w:after="0"/>
              <w:ind w:left="53" w:hanging="0"/>
              <w:contextualSpacing/>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22. Капітальний ремонт (Термомодернізація) будівлі Каховського ДНЗ №10 «Казка»</w:t>
            </w:r>
          </w:p>
          <w:p>
            <w:pPr>
              <w:pStyle w:val="Normal"/>
              <w:spacing w:lineRule="auto" w:line="240" w:before="0" w:after="0"/>
              <w:ind w:left="53" w:hanging="0"/>
              <w:contextualSpacing/>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23. Капітальний ремонт харчоблоку з оновленням інтер’єру в приміщеннях Каховської ЗОШ І-ІІІ ст. №1</w:t>
            </w:r>
          </w:p>
          <w:p>
            <w:pPr>
              <w:pStyle w:val="Normal"/>
              <w:spacing w:lineRule="auto" w:line="240" w:before="0" w:after="0"/>
              <w:ind w:left="53" w:hanging="0"/>
              <w:contextualSpacing/>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24.Пожежна безпека закладів освіти громади</w:t>
            </w:r>
          </w:p>
          <w:p>
            <w:pPr>
              <w:pStyle w:val="Normal"/>
              <w:spacing w:lineRule="auto" w:line="240" w:before="0" w:after="0"/>
              <w:ind w:left="53" w:hanging="0"/>
              <w:contextualSpacing/>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25.Модернізація та оновлення матеріальної бази харчоблоків закладів освіти громади</w:t>
            </w:r>
          </w:p>
          <w:p>
            <w:pPr>
              <w:pStyle w:val="Normal"/>
              <w:spacing w:lineRule="auto" w:line="240" w:before="0" w:after="0"/>
              <w:ind w:left="53" w:hanging="0"/>
              <w:contextualSpacing/>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26. Модернізація матеріально-технічної бази ЗДО”Орлятко” в с.Чорноморівка</w:t>
            </w:r>
          </w:p>
          <w:p>
            <w:pPr>
              <w:pStyle w:val="Normal"/>
              <w:spacing w:lineRule="auto" w:line="240" w:before="0" w:after="0"/>
              <w:ind w:left="53" w:hanging="0"/>
              <w:contextualSpacing/>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27. Реконструкція системи опалення Чорноморівської гімназії</w:t>
            </w:r>
          </w:p>
        </w:tc>
      </w:tr>
      <w:tr>
        <w:trPr/>
        <w:tc>
          <w:tcPr>
            <w:tcW w:w="16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143" w:hanging="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2.2.Сучасна охорона здоров’я та медичні послуги</w:t>
            </w:r>
          </w:p>
        </w:tc>
        <w:tc>
          <w:tcPr>
            <w:tcW w:w="20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111" w:hanging="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2.2.1. Підвищення якості послуг закладів охорони здоров’я</w:t>
            </w:r>
          </w:p>
          <w:p>
            <w:pPr>
              <w:pStyle w:val="Normal"/>
              <w:spacing w:lineRule="auto" w:line="240" w:before="0" w:after="0"/>
              <w:ind w:left="111" w:hanging="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r>
          </w:p>
        </w:tc>
        <w:tc>
          <w:tcPr>
            <w:tcW w:w="63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53" w:hanging="0"/>
              <w:contextualSpacing/>
              <w:rPr>
                <w:rFonts w:ascii="Times New Roman" w:hAnsi="Times New Roman" w:eastAsia="Calibri" w:cs="Times New Roman"/>
                <w:color w:val="00000A"/>
                <w:sz w:val="24"/>
                <w:szCs w:val="24"/>
              </w:rPr>
            </w:pPr>
            <w:r>
              <w:rPr>
                <w:rFonts w:eastAsia="Calibri" w:cs="Times New Roman" w:ascii="Times New Roman" w:hAnsi="Times New Roman"/>
                <w:color w:val="000000"/>
                <w:sz w:val="24"/>
                <w:szCs w:val="24"/>
                <w:highlight w:val="white"/>
              </w:rPr>
              <w:t>28. Програма підтримки КМП” Каховська центральна міська лікарня” ім.Панкеєвих на 2022 рік</w:t>
            </w:r>
          </w:p>
          <w:p>
            <w:pPr>
              <w:pStyle w:val="Normal"/>
              <w:spacing w:lineRule="auto" w:line="240" w:before="0" w:after="0"/>
              <w:ind w:left="53" w:hanging="0"/>
              <w:contextualSpacing/>
              <w:rPr>
                <w:rFonts w:ascii="Times New Roman" w:hAnsi="Times New Roman" w:eastAsia="Calibri" w:cs="Times New Roman"/>
                <w:color w:val="00000A"/>
                <w:sz w:val="24"/>
                <w:szCs w:val="24"/>
              </w:rPr>
            </w:pPr>
            <w:r>
              <w:rPr>
                <w:rFonts w:eastAsia="Calibri" w:cs="Times New Roman" w:ascii="Times New Roman" w:hAnsi="Times New Roman"/>
                <w:color w:val="000000"/>
                <w:sz w:val="24"/>
                <w:szCs w:val="24"/>
                <w:highlight w:val="white"/>
              </w:rPr>
              <w:t>29. Програма розвитку та фінансової підтримки КМП” Каховський центр первинної медико санітарної допомоги на 2022 рік”</w:t>
            </w:r>
          </w:p>
          <w:p>
            <w:pPr>
              <w:pStyle w:val="Normal"/>
              <w:spacing w:lineRule="auto" w:line="240" w:before="0" w:after="0"/>
              <w:ind w:left="53" w:hanging="0"/>
              <w:contextualSpacing/>
              <w:rPr>
                <w:rFonts w:ascii="Times New Roman" w:hAnsi="Times New Roman" w:eastAsia="Calibri" w:cs="Times New Roman"/>
                <w:color w:val="000000"/>
                <w:sz w:val="24"/>
                <w:szCs w:val="24"/>
              </w:rPr>
            </w:pPr>
            <w:r>
              <w:rPr>
                <w:rFonts w:eastAsia="Calibri" w:cs="Times New Roman" w:ascii="Times New Roman" w:hAnsi="Times New Roman"/>
                <w:color w:val="000000"/>
                <w:sz w:val="24"/>
                <w:szCs w:val="24"/>
                <w:highlight w:val="white"/>
              </w:rPr>
              <w:t>30. Збереження в територіальній громаді філії станції переливання крові</w:t>
            </w:r>
          </w:p>
          <w:p>
            <w:pPr>
              <w:pStyle w:val="Normal"/>
              <w:spacing w:lineRule="auto" w:line="240" w:before="0" w:after="0"/>
              <w:ind w:left="53" w:hanging="0"/>
              <w:contextualSpacing/>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31. Програма забезпечення житлом медичних працівників закладів охорони здоров’я Каховської ТГ</w:t>
            </w:r>
          </w:p>
        </w:tc>
      </w:tr>
      <w:tr>
        <w:trPr>
          <w:trHeight w:val="1693" w:hRule="atLeast"/>
        </w:trPr>
        <w:tc>
          <w:tcPr>
            <w:tcW w:w="169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143" w:hanging="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highlight w:val="white"/>
              </w:rPr>
              <w:t>2.3. Розвиток культури</w:t>
            </w:r>
          </w:p>
        </w:tc>
        <w:tc>
          <w:tcPr>
            <w:tcW w:w="20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111" w:hanging="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highlight w:val="white"/>
              </w:rPr>
              <w:t>2.3.1. Модернізація закладів культури</w:t>
            </w:r>
          </w:p>
        </w:tc>
        <w:tc>
          <w:tcPr>
            <w:tcW w:w="63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tabs>
                <w:tab w:val="left" w:pos="317" w:leader="none"/>
              </w:tabs>
              <w:spacing w:lineRule="auto" w:line="240" w:before="0" w:after="0"/>
              <w:ind w:left="53" w:hanging="0"/>
              <w:contextualSpacing/>
              <w:jc w:val="both"/>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32. Модернізація дитячого відділу відокремленого підрозділу Управління культури і туризму «Міська універсальна бібліотека»</w:t>
            </w:r>
          </w:p>
          <w:p>
            <w:pPr>
              <w:pStyle w:val="Normal"/>
              <w:tabs>
                <w:tab w:val="left" w:pos="317" w:leader="none"/>
              </w:tabs>
              <w:spacing w:lineRule="auto" w:line="240" w:before="0" w:after="0"/>
              <w:ind w:left="53" w:hanging="0"/>
              <w:contextualSpacing/>
              <w:jc w:val="both"/>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33. Модернізація сценічного комплексу ВП МПК «Меліоратор» управління культури і туризму в м.     Каховка, Херсонської області</w:t>
            </w:r>
          </w:p>
          <w:p>
            <w:pPr>
              <w:pStyle w:val="Normal"/>
              <w:tabs>
                <w:tab w:val="left" w:pos="317" w:leader="none"/>
              </w:tabs>
              <w:spacing w:lineRule="auto" w:line="240" w:before="0" w:after="0"/>
              <w:ind w:left="53" w:hanging="0"/>
              <w:contextualSpacing/>
              <w:jc w:val="both"/>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34.Капітальний ремонт внутрішнього протипожежного водопроводу на об’єкті міський  ВП МПК «Меліоратор»</w:t>
            </w:r>
          </w:p>
          <w:p>
            <w:pPr>
              <w:pStyle w:val="Normal"/>
              <w:tabs>
                <w:tab w:val="left" w:pos="317" w:leader="none"/>
              </w:tabs>
              <w:spacing w:lineRule="auto" w:line="240" w:before="0" w:after="0"/>
              <w:ind w:left="53" w:hanging="0"/>
              <w:jc w:val="both"/>
              <w:rPr>
                <w:rFonts w:ascii="Times New Roman" w:hAnsi="Times New Roman" w:eastAsia="Calibri" w:cs="Times New Roman"/>
                <w:color w:val="00000A"/>
                <w:sz w:val="24"/>
                <w:szCs w:val="24"/>
              </w:rPr>
            </w:pPr>
            <w:r>
              <w:rPr>
                <w:rFonts w:eastAsia="Times New Roman" w:cs="Times New Roman" w:ascii="Times New Roman" w:hAnsi="Times New Roman"/>
                <w:color w:val="00000A"/>
                <w:sz w:val="24"/>
                <w:szCs w:val="24"/>
                <w:lang w:eastAsia="uk-UA"/>
              </w:rPr>
              <w:t xml:space="preserve">35. Поточний ремонт </w:t>
            </w:r>
            <w:r>
              <w:rPr>
                <w:rFonts w:eastAsia="Calibri" w:cs="Times New Roman" w:ascii="Times New Roman" w:hAnsi="Times New Roman"/>
                <w:color w:val="00000A"/>
                <w:sz w:val="24"/>
                <w:szCs w:val="24"/>
              </w:rPr>
              <w:t>Роздольненського сільського будинку культури</w:t>
            </w:r>
          </w:p>
          <w:p>
            <w:pPr>
              <w:pStyle w:val="Normal"/>
              <w:tabs>
                <w:tab w:val="left" w:pos="317" w:leader="none"/>
              </w:tabs>
              <w:spacing w:lineRule="auto" w:line="240" w:before="0" w:after="0"/>
              <w:ind w:left="53" w:hanging="0"/>
              <w:jc w:val="both"/>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36. Здійснення енергоефективних заходів» та сільського клубу в с.В.Україна</w:t>
            </w:r>
          </w:p>
          <w:p>
            <w:pPr>
              <w:pStyle w:val="Normal"/>
              <w:tabs>
                <w:tab w:val="left" w:pos="317" w:leader="none"/>
              </w:tabs>
              <w:spacing w:lineRule="auto" w:line="240" w:before="0" w:after="0"/>
              <w:ind w:left="53" w:hanging="0"/>
              <w:jc w:val="both"/>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37. Ремонт та благоустрій Чорноморівського сільського клубу</w:t>
            </w:r>
          </w:p>
          <w:p>
            <w:pPr>
              <w:pStyle w:val="Normal"/>
              <w:tabs>
                <w:tab w:val="left" w:pos="900" w:leader="none"/>
              </w:tabs>
              <w:spacing w:lineRule="auto" w:line="240" w:before="0" w:after="0"/>
              <w:ind w:left="51" w:hanging="0"/>
              <w:jc w:val="both"/>
              <w:rPr>
                <w:rFonts w:ascii="Times New Roman" w:hAnsi="Times New Roman" w:eastAsia="Calibri" w:cs="Times New Roman"/>
                <w:color w:val="00000A"/>
                <w:sz w:val="24"/>
                <w:szCs w:val="24"/>
              </w:rPr>
            </w:pPr>
            <w:bookmarkStart w:id="148" w:name="_Hlk84678354"/>
            <w:bookmarkEnd w:id="148"/>
            <w:r>
              <w:rPr>
                <w:rFonts w:eastAsia="Calibri" w:cs="Times New Roman" w:ascii="Times New Roman" w:hAnsi="Times New Roman"/>
                <w:color w:val="00000A"/>
                <w:sz w:val="24"/>
                <w:szCs w:val="24"/>
              </w:rPr>
              <w:t>38. Створення багатофункціонального Центру дозвілля для різних вікових груп в с.Коробки.</w:t>
            </w:r>
          </w:p>
        </w:tc>
      </w:tr>
      <w:tr>
        <w:trPr>
          <w:trHeight w:val="898" w:hRule="atLeast"/>
        </w:trPr>
        <w:tc>
          <w:tcPr>
            <w:tcW w:w="16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143" w:hanging="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r>
          </w:p>
        </w:tc>
        <w:tc>
          <w:tcPr>
            <w:tcW w:w="20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111" w:hanging="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highlight w:val="white"/>
              </w:rPr>
              <w:t xml:space="preserve">2.3.2. Сучасні культурні послуги </w:t>
            </w:r>
          </w:p>
        </w:tc>
        <w:tc>
          <w:tcPr>
            <w:tcW w:w="63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tabs>
                <w:tab w:val="left" w:pos="317" w:leader="none"/>
              </w:tabs>
              <w:spacing w:lineRule="auto" w:line="240" w:before="0" w:after="0"/>
              <w:ind w:left="53" w:hanging="0"/>
              <w:contextualSpacing/>
              <w:jc w:val="both"/>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39. Придбання комплекту вуличної мобільної збірно-розбірної сцени для культурно-мистецьких заходів</w:t>
            </w:r>
          </w:p>
          <w:p>
            <w:pPr>
              <w:pStyle w:val="Normal"/>
              <w:tabs>
                <w:tab w:val="left" w:pos="317" w:leader="none"/>
              </w:tabs>
              <w:spacing w:lineRule="auto" w:line="240" w:before="0" w:after="0"/>
              <w:ind w:left="53" w:hanging="340"/>
              <w:contextualSpacing/>
              <w:jc w:val="both"/>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r>
          </w:p>
        </w:tc>
      </w:tr>
      <w:tr>
        <w:trPr>
          <w:trHeight w:val="1091" w:hRule="atLeast"/>
        </w:trPr>
        <w:tc>
          <w:tcPr>
            <w:tcW w:w="169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143" w:hanging="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 xml:space="preserve">2.4.Створення умов для розвитку фізичної культури та спорту </w:t>
            </w:r>
          </w:p>
        </w:tc>
        <w:tc>
          <w:tcPr>
            <w:tcW w:w="20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111" w:hanging="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2.4.1. Розбудова сучасної та доступної фізкультурно-спортивної інфраструктури</w:t>
            </w:r>
          </w:p>
        </w:tc>
        <w:tc>
          <w:tcPr>
            <w:tcW w:w="63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53" w:hanging="0"/>
              <w:contextualSpacing/>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highlight w:val="white"/>
              </w:rPr>
              <w:t>Реконструкція спортивного комбінату “Олімпійський”, який включає :</w:t>
            </w:r>
          </w:p>
          <w:p>
            <w:pPr>
              <w:pStyle w:val="Normal"/>
              <w:tabs>
                <w:tab w:val="left" w:pos="317" w:leader="none"/>
              </w:tabs>
              <w:spacing w:lineRule="auto" w:line="240" w:before="0" w:after="0"/>
              <w:ind w:left="53" w:hanging="0"/>
              <w:contextualSpacing/>
              <w:jc w:val="both"/>
              <w:rPr>
                <w:rFonts w:ascii="Times New Roman" w:hAnsi="Times New Roman" w:eastAsia="Calibri" w:cs="Times New Roman"/>
                <w:color w:val="00000A"/>
                <w:sz w:val="24"/>
                <w:szCs w:val="24"/>
              </w:rPr>
            </w:pPr>
            <w:r>
              <w:rPr>
                <w:rFonts w:eastAsia="Calibri" w:cs="Times New Roman" w:ascii="Times New Roman" w:hAnsi="Times New Roman"/>
                <w:color w:val="000000"/>
                <w:sz w:val="24"/>
                <w:szCs w:val="24"/>
                <w:highlight w:val="white"/>
              </w:rPr>
              <w:t xml:space="preserve">40. Реконструкція спортивного залу спортивного комбінату «Олімпійський» </w:t>
            </w:r>
          </w:p>
          <w:p>
            <w:pPr>
              <w:pStyle w:val="Normal"/>
              <w:tabs>
                <w:tab w:val="left" w:pos="317" w:leader="none"/>
              </w:tabs>
              <w:spacing w:lineRule="auto" w:line="240" w:before="0" w:after="0"/>
              <w:ind w:left="53" w:hanging="0"/>
              <w:contextualSpacing/>
              <w:jc w:val="both"/>
              <w:rPr>
                <w:rFonts w:ascii="Times New Roman" w:hAnsi="Times New Roman" w:eastAsia="Calibri" w:cs="Times New Roman"/>
                <w:color w:val="00000A"/>
                <w:sz w:val="24"/>
                <w:szCs w:val="24"/>
              </w:rPr>
            </w:pPr>
            <w:r>
              <w:rPr>
                <w:rFonts w:eastAsia="Calibri" w:cs="Times New Roman" w:ascii="Times New Roman" w:hAnsi="Times New Roman"/>
                <w:color w:val="000000"/>
                <w:sz w:val="24"/>
                <w:szCs w:val="24"/>
                <w:highlight w:val="white"/>
              </w:rPr>
              <w:t>41. Ремонт приміщень ДЮСШ в м.Каховка</w:t>
            </w:r>
          </w:p>
          <w:p>
            <w:pPr>
              <w:pStyle w:val="Normal"/>
              <w:tabs>
                <w:tab w:val="left" w:pos="317" w:leader="none"/>
              </w:tabs>
              <w:spacing w:lineRule="auto" w:line="240" w:before="0" w:after="0"/>
              <w:ind w:left="53" w:hanging="0"/>
              <w:contextualSpacing/>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highlight w:val="white"/>
              </w:rPr>
              <w:t>42. Будівництво багатофункціонального спортивного майданчика із штучним покриттям в с. Малокаховка</w:t>
            </w:r>
          </w:p>
          <w:p>
            <w:pPr>
              <w:pStyle w:val="Normal"/>
              <w:tabs>
                <w:tab w:val="left" w:pos="317" w:leader="none"/>
              </w:tabs>
              <w:spacing w:lineRule="auto" w:line="240" w:before="0" w:after="0"/>
              <w:ind w:left="53" w:hanging="0"/>
              <w:contextualSpacing/>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highlight w:val="white"/>
              </w:rPr>
              <w:t>43. Будівництво багатофункціонального спортивного майданчика із штучним покриттям в  с.Коробки</w:t>
            </w:r>
          </w:p>
          <w:p>
            <w:pPr>
              <w:pStyle w:val="Normal"/>
              <w:tabs>
                <w:tab w:val="left" w:pos="317" w:leader="none"/>
              </w:tabs>
              <w:spacing w:lineRule="auto" w:line="240" w:before="0" w:after="0"/>
              <w:ind w:left="53" w:hanging="218"/>
              <w:jc w:val="both"/>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highlight w:val="white"/>
              </w:rPr>
              <w:t xml:space="preserve"> </w:t>
            </w:r>
            <w:r>
              <w:rPr>
                <w:rFonts w:eastAsia="Calibri" w:cs="Times New Roman" w:ascii="Times New Roman" w:hAnsi="Times New Roman"/>
                <w:color w:val="00000A"/>
                <w:sz w:val="24"/>
                <w:szCs w:val="24"/>
                <w:highlight w:val="white"/>
              </w:rPr>
              <w:t>44. Облаштування спортивного майданчику з вуличними тренажерам в с. Вільна Україна</w:t>
            </w:r>
          </w:p>
          <w:p>
            <w:pPr>
              <w:pStyle w:val="Normal"/>
              <w:tabs>
                <w:tab w:val="left" w:pos="317" w:leader="none"/>
              </w:tabs>
              <w:spacing w:lineRule="auto" w:line="240" w:before="0" w:after="0"/>
              <w:ind w:left="53" w:hanging="0"/>
              <w:jc w:val="both"/>
              <w:rPr>
                <w:rFonts w:ascii="Times New Roman" w:hAnsi="Times New Roman" w:eastAsia="Calibri" w:cs="Times New Roman"/>
                <w:color w:val="00000A"/>
                <w:sz w:val="24"/>
                <w:szCs w:val="24"/>
              </w:rPr>
            </w:pPr>
            <w:bookmarkStart w:id="149" w:name="__DdeLink__2570_124871848"/>
            <w:r>
              <w:rPr>
                <w:rFonts w:eastAsia="Calibri" w:cs="Times New Roman" w:ascii="Times New Roman" w:hAnsi="Times New Roman"/>
                <w:color w:val="00000A"/>
                <w:sz w:val="24"/>
                <w:szCs w:val="24"/>
                <w:highlight w:val="white"/>
              </w:rPr>
              <w:t>4</w:t>
            </w:r>
            <w:bookmarkEnd w:id="149"/>
            <w:r>
              <w:rPr>
                <w:rFonts w:eastAsia="Calibri" w:cs="Times New Roman" w:ascii="Times New Roman" w:hAnsi="Times New Roman"/>
                <w:color w:val="00000A"/>
                <w:sz w:val="24"/>
                <w:szCs w:val="24"/>
                <w:highlight w:val="white"/>
              </w:rPr>
              <w:t>5. Облаштування спортивного майданчику з вуличними тренажерам в с. Роздольне</w:t>
            </w:r>
          </w:p>
          <w:p>
            <w:pPr>
              <w:pStyle w:val="Normal"/>
              <w:tabs>
                <w:tab w:val="left" w:pos="317" w:leader="none"/>
              </w:tabs>
              <w:spacing w:lineRule="auto" w:line="240" w:before="0" w:after="0"/>
              <w:ind w:left="53" w:hanging="0"/>
              <w:jc w:val="both"/>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highlight w:val="white"/>
              </w:rPr>
              <w:t>46. Облаштування спортивного майданчику з вуличними тренажерам в с. Чорноморівка</w:t>
            </w:r>
          </w:p>
        </w:tc>
      </w:tr>
      <w:tr>
        <w:trPr>
          <w:trHeight w:val="1091" w:hRule="atLeast"/>
        </w:trPr>
        <w:tc>
          <w:tcPr>
            <w:tcW w:w="16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143" w:hanging="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r>
          </w:p>
        </w:tc>
        <w:tc>
          <w:tcPr>
            <w:tcW w:w="20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111" w:hanging="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2.4.2. Підтримка всіх напрямків спорту та масової фізичної культури</w:t>
            </w:r>
          </w:p>
        </w:tc>
        <w:tc>
          <w:tcPr>
            <w:tcW w:w="63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tabs>
                <w:tab w:val="left" w:pos="317" w:leader="none"/>
              </w:tabs>
              <w:spacing w:lineRule="auto" w:line="240" w:before="0" w:after="0"/>
              <w:ind w:left="53" w:hanging="0"/>
              <w:contextualSpacing/>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47. Розробка Програми розвитку фізкультури та спорту в Каховській ТГ на 2023-2027 ріки</w:t>
            </w:r>
          </w:p>
        </w:tc>
      </w:tr>
      <w:tr>
        <w:trPr>
          <w:trHeight w:val="1091" w:hRule="atLeast"/>
        </w:trPr>
        <w:tc>
          <w:tcPr>
            <w:tcW w:w="169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143" w:hanging="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 xml:space="preserve">2.5. Активна участь </w:t>
            </w:r>
            <w:r>
              <w:rPr>
                <w:rFonts w:eastAsia="Calibri" w:cs="Times New Roman" w:ascii="Times New Roman" w:hAnsi="Times New Roman"/>
                <w:color w:val="00000A"/>
                <w:sz w:val="24"/>
                <w:szCs w:val="24"/>
                <w:highlight w:val="white"/>
              </w:rPr>
              <w:t xml:space="preserve">мешканців </w:t>
            </w:r>
            <w:r>
              <w:rPr>
                <w:rFonts w:eastAsia="Calibri" w:cs="Times New Roman" w:ascii="Times New Roman" w:hAnsi="Times New Roman"/>
                <w:color w:val="00000A"/>
                <w:sz w:val="24"/>
                <w:szCs w:val="24"/>
              </w:rPr>
              <w:t>у житті громади та соціальні послуги</w:t>
            </w:r>
          </w:p>
        </w:tc>
        <w:tc>
          <w:tcPr>
            <w:tcW w:w="20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111" w:hanging="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 xml:space="preserve">2.5.1. Створення молодіжної інфраструктури </w:t>
            </w:r>
          </w:p>
        </w:tc>
        <w:tc>
          <w:tcPr>
            <w:tcW w:w="63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tabs>
                <w:tab w:val="left" w:pos="317" w:leader="none"/>
              </w:tabs>
              <w:spacing w:lineRule="auto" w:line="240" w:before="0" w:after="0"/>
              <w:ind w:left="53" w:hanging="0"/>
              <w:contextualSpacing/>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48.Створення Молодіжного центру “Пульс”</w:t>
            </w:r>
          </w:p>
          <w:p>
            <w:pPr>
              <w:pStyle w:val="Normal"/>
              <w:spacing w:lineRule="auto" w:line="240" w:before="0" w:after="0"/>
              <w:ind w:left="53" w:hanging="0"/>
              <w:rPr>
                <w:rFonts w:ascii="Times New Roman" w:hAnsi="Times New Roman" w:eastAsia="Calibri" w:cs="Times New Roman"/>
                <w:color w:val="00000A"/>
                <w:sz w:val="24"/>
                <w:szCs w:val="24"/>
              </w:rPr>
            </w:pPr>
            <w:r>
              <w:rPr>
                <w:rFonts w:eastAsia="Calibri" w:cs="Times New Roman" w:ascii="Times New Roman" w:hAnsi="Times New Roman"/>
                <w:color w:val="000000"/>
                <w:sz w:val="24"/>
                <w:szCs w:val="24"/>
              </w:rPr>
              <w:t>49. Створення відкритого молодіжного "Простору вільного спілкування"</w:t>
            </w:r>
          </w:p>
        </w:tc>
      </w:tr>
      <w:tr>
        <w:trPr>
          <w:trHeight w:val="1091" w:hRule="atLeast"/>
        </w:trPr>
        <w:tc>
          <w:tcPr>
            <w:tcW w:w="16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289" w:hanging="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r>
          </w:p>
        </w:tc>
        <w:tc>
          <w:tcPr>
            <w:tcW w:w="20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111" w:hanging="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2.5.2. Залучення молоді до впровадження грантових, регіональних та місцевих програм</w:t>
            </w:r>
          </w:p>
        </w:tc>
        <w:tc>
          <w:tcPr>
            <w:tcW w:w="63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tabs>
                <w:tab w:val="left" w:pos="317" w:leader="none"/>
              </w:tabs>
              <w:spacing w:lineRule="auto" w:line="240" w:before="0" w:after="0"/>
              <w:ind w:left="53" w:hanging="0"/>
              <w:contextualSpacing/>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50.</w:t>
            </w:r>
            <w:r>
              <w:rPr>
                <w:rFonts w:eastAsia="Noto Sans CJK SC Regular;Times" w:cs="Times New Roman" w:ascii="Times New Roman" w:hAnsi="Times New Roman"/>
                <w:sz w:val="24"/>
                <w:szCs w:val="24"/>
                <w:lang w:eastAsia="zh-CN" w:bidi="hi-IN"/>
              </w:rPr>
              <w:t xml:space="preserve"> </w:t>
            </w:r>
            <w:r>
              <w:rPr>
                <w:rFonts w:eastAsia="Calibri" w:cs="Times New Roman" w:ascii="Times New Roman" w:hAnsi="Times New Roman"/>
                <w:color w:val="00000A"/>
                <w:sz w:val="24"/>
                <w:szCs w:val="24"/>
              </w:rPr>
              <w:t xml:space="preserve">Участь у заходах Програми </w:t>
            </w:r>
            <w:r>
              <w:rPr>
                <w:rFonts w:eastAsia="Noto Sans CJK SC Regular;Times" w:cs="Times New Roman" w:ascii="Times New Roman" w:hAnsi="Times New Roman"/>
                <w:sz w:val="24"/>
                <w:szCs w:val="24"/>
                <w:lang w:eastAsia="zh-CN" w:bidi="hi-IN"/>
              </w:rPr>
              <w:t xml:space="preserve">USAID </w:t>
            </w:r>
            <w:r>
              <w:rPr>
                <w:rFonts w:eastAsia="Calibri" w:cs="Times New Roman" w:ascii="Times New Roman" w:hAnsi="Times New Roman"/>
                <w:color w:val="00000A"/>
                <w:sz w:val="24"/>
                <w:szCs w:val="24"/>
              </w:rPr>
              <w:t>“Мріємо та діємо”</w:t>
            </w:r>
          </w:p>
          <w:p>
            <w:pPr>
              <w:pStyle w:val="Normal"/>
              <w:spacing w:lineRule="auto" w:line="240" w:before="0" w:after="0"/>
              <w:ind w:left="53" w:hanging="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51. Конкурс молодіжних проєктів та програм на отримання муніципальних грантів</w:t>
            </w:r>
          </w:p>
          <w:p>
            <w:pPr>
              <w:pStyle w:val="Normal"/>
              <w:tabs>
                <w:tab w:val="left" w:pos="317" w:leader="none"/>
              </w:tabs>
              <w:spacing w:lineRule="auto" w:line="240" w:before="0" w:after="0"/>
              <w:ind w:left="53" w:hanging="0"/>
              <w:contextualSpacing/>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 xml:space="preserve">52.Розробка, </w:t>
            </w:r>
            <w:bookmarkStart w:id="150" w:name="__DdeLink__364_823982202"/>
            <w:r>
              <w:rPr>
                <w:rFonts w:eastAsia="Calibri" w:cs="Times New Roman" w:ascii="Times New Roman" w:hAnsi="Times New Roman"/>
                <w:color w:val="00000A"/>
                <w:sz w:val="24"/>
                <w:szCs w:val="24"/>
              </w:rPr>
              <w:t>затвердження та реалізація заходів</w:t>
            </w:r>
            <w:bookmarkEnd w:id="150"/>
            <w:r>
              <w:rPr>
                <w:rFonts w:eastAsia="Calibri" w:cs="Times New Roman" w:ascii="Times New Roman" w:hAnsi="Times New Roman"/>
                <w:color w:val="00000A"/>
                <w:sz w:val="24"/>
                <w:szCs w:val="24"/>
              </w:rPr>
              <w:t xml:space="preserve"> місцевих програм з розвитку молодіжної політики 2022-2026 р</w:t>
            </w:r>
          </w:p>
          <w:p>
            <w:pPr>
              <w:pStyle w:val="Normal"/>
              <w:tabs>
                <w:tab w:val="left" w:pos="317" w:leader="none"/>
              </w:tabs>
              <w:spacing w:lineRule="auto" w:line="240" w:before="0" w:after="0"/>
              <w:ind w:left="53" w:hanging="0"/>
              <w:contextualSpacing/>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53. Розробка, затвердження та реалізація заходів місцевої програми з питань розвитку українського козацтва 2022-2026 р</w:t>
            </w:r>
          </w:p>
        </w:tc>
      </w:tr>
      <w:tr>
        <w:trPr>
          <w:trHeight w:val="1091" w:hRule="atLeast"/>
        </w:trPr>
        <w:tc>
          <w:tcPr>
            <w:tcW w:w="16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289" w:hanging="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r>
          </w:p>
        </w:tc>
        <w:tc>
          <w:tcPr>
            <w:tcW w:w="20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111" w:hanging="0"/>
              <w:rPr>
                <w:rFonts w:ascii="Times New Roman" w:hAnsi="Times New Roman" w:eastAsia="Calibri" w:cs="Times New Roman"/>
                <w:color w:val="00000A"/>
                <w:sz w:val="24"/>
                <w:szCs w:val="24"/>
                <w:highlight w:val="yellow"/>
              </w:rPr>
            </w:pPr>
            <w:r>
              <w:rPr>
                <w:rFonts w:eastAsia="Calibri" w:cs="Times New Roman" w:ascii="Times New Roman" w:hAnsi="Times New Roman"/>
                <w:color w:val="00000A"/>
                <w:sz w:val="24"/>
                <w:szCs w:val="24"/>
                <w:highlight w:val="white"/>
              </w:rPr>
              <w:t>2.5.3. Сучасні інструменти громадської участі</w:t>
            </w:r>
          </w:p>
        </w:tc>
        <w:tc>
          <w:tcPr>
            <w:tcW w:w="63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tabs>
                <w:tab w:val="left" w:pos="317" w:leader="none"/>
              </w:tabs>
              <w:spacing w:lineRule="auto" w:line="240" w:before="0" w:after="0"/>
              <w:ind w:left="53" w:hanging="0"/>
              <w:contextualSpacing/>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highlight w:val="white"/>
              </w:rPr>
              <w:t>54. Впровадження публічних консультацій</w:t>
            </w:r>
          </w:p>
          <w:p>
            <w:pPr>
              <w:pStyle w:val="Normal"/>
              <w:tabs>
                <w:tab w:val="left" w:pos="317" w:leader="none"/>
              </w:tabs>
              <w:spacing w:lineRule="auto" w:line="240" w:before="0" w:after="0"/>
              <w:ind w:left="53" w:hanging="0"/>
              <w:contextualSpacing/>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highlight w:val="white"/>
              </w:rPr>
              <w:t>55. Реалізація проектів бюджету участі</w:t>
            </w:r>
          </w:p>
        </w:tc>
      </w:tr>
      <w:tr>
        <w:trPr>
          <w:trHeight w:val="880" w:hRule="atLeast"/>
        </w:trPr>
        <w:tc>
          <w:tcPr>
            <w:tcW w:w="16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289" w:hanging="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r>
          </w:p>
        </w:tc>
        <w:tc>
          <w:tcPr>
            <w:tcW w:w="20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111" w:right="-168" w:hanging="0"/>
              <w:rPr>
                <w:rFonts w:ascii="Times New Roman" w:hAnsi="Times New Roman" w:eastAsia="Calibri" w:cs="Times New Roman"/>
                <w:color w:val="00000A"/>
                <w:sz w:val="24"/>
                <w:szCs w:val="24"/>
                <w:highlight w:val="white"/>
              </w:rPr>
            </w:pPr>
            <w:r>
              <w:rPr>
                <w:rFonts w:eastAsia="Calibri" w:cs="Times New Roman" w:ascii="Times New Roman" w:hAnsi="Times New Roman"/>
                <w:color w:val="00000A"/>
                <w:sz w:val="24"/>
                <w:szCs w:val="24"/>
              </w:rPr>
              <w:t>2.5.4. Підвищення якості соціальних послуг</w:t>
            </w:r>
          </w:p>
        </w:tc>
        <w:tc>
          <w:tcPr>
            <w:tcW w:w="63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tabs>
                <w:tab w:val="left" w:pos="317" w:leader="none"/>
              </w:tabs>
              <w:spacing w:lineRule="auto" w:line="240" w:before="0" w:after="0"/>
              <w:ind w:left="53" w:hanging="0"/>
              <w:contextualSpacing/>
              <w:rPr>
                <w:rFonts w:ascii="Times New Roman" w:hAnsi="Times New Roman" w:eastAsia="Calibri" w:cs="Times New Roman"/>
                <w:color w:val="00000A"/>
                <w:sz w:val="24"/>
                <w:szCs w:val="24"/>
                <w:highlight w:val="white"/>
              </w:rPr>
            </w:pPr>
            <w:r>
              <w:rPr>
                <w:rFonts w:eastAsia="Calibri" w:cs="Times New Roman" w:ascii="Times New Roman" w:hAnsi="Times New Roman"/>
                <w:color w:val="00000A"/>
                <w:sz w:val="24"/>
                <w:szCs w:val="24"/>
              </w:rPr>
              <w:t>56.Фінансування послуги “Компенсація фізичним особам, які надають соціальні послуги з догляду на непрофесійній основі”</w:t>
            </w:r>
          </w:p>
        </w:tc>
      </w:tr>
    </w:tbl>
    <w:p>
      <w:pPr>
        <w:pStyle w:val="Normal"/>
        <w:spacing w:lineRule="auto" w:line="240" w:before="0" w:after="0"/>
        <w:rPr>
          <w:rFonts w:ascii="Times New Roman" w:hAnsi="Times New Roman" w:eastAsia="Times New Roman" w:cs="Times New Roman"/>
          <w:b/>
          <w:b/>
          <w:bCs/>
          <w:color w:val="1F497D"/>
          <w:sz w:val="24"/>
          <w:szCs w:val="24"/>
        </w:rPr>
      </w:pPr>
      <w:r>
        <w:rPr>
          <w:rFonts w:eastAsia="Times New Roman" w:cs="Times New Roman" w:ascii="Times New Roman" w:hAnsi="Times New Roman"/>
          <w:b/>
          <w:bCs/>
          <w:color w:val="1F497D"/>
          <w:sz w:val="24"/>
          <w:szCs w:val="24"/>
        </w:rPr>
      </w:r>
    </w:p>
    <w:p>
      <w:pPr>
        <w:pStyle w:val="Normal"/>
        <w:spacing w:lineRule="auto" w:line="240" w:before="0" w:after="0"/>
        <w:rPr>
          <w:rFonts w:ascii="Times New Roman" w:hAnsi="Times New Roman" w:eastAsia="Times New Roman" w:cs="Times New Roman"/>
          <w:b/>
          <w:b/>
          <w:bCs/>
          <w:color w:val="1F497D"/>
          <w:sz w:val="24"/>
          <w:szCs w:val="24"/>
        </w:rPr>
      </w:pPr>
      <w:r>
        <w:rPr>
          <w:rFonts w:eastAsia="Times New Roman" w:cs="Times New Roman" w:ascii="Times New Roman" w:hAnsi="Times New Roman"/>
          <w:b/>
          <w:bCs/>
          <w:color w:val="1F497D"/>
          <w:sz w:val="24"/>
          <w:szCs w:val="24"/>
        </w:rPr>
      </w:r>
    </w:p>
    <w:p>
      <w:pPr>
        <w:pStyle w:val="Normal"/>
        <w:spacing w:lineRule="auto" w:line="240" w:before="0" w:after="0"/>
        <w:rPr>
          <w:rFonts w:ascii="Times New Roman" w:hAnsi="Times New Roman" w:eastAsia="Times New Roman" w:cs="Times New Roman"/>
          <w:b/>
          <w:b/>
          <w:bCs/>
          <w:color w:val="1F497D"/>
          <w:sz w:val="24"/>
          <w:szCs w:val="24"/>
        </w:rPr>
      </w:pPr>
      <w:r>
        <w:rPr>
          <w:rFonts w:eastAsia="Times New Roman" w:cs="Times New Roman" w:ascii="Times New Roman" w:hAnsi="Times New Roman"/>
          <w:b/>
          <w:bCs/>
          <w:color w:val="1F497D"/>
          <w:sz w:val="24"/>
          <w:szCs w:val="24"/>
        </w:rPr>
      </w:r>
    </w:p>
    <w:p>
      <w:pPr>
        <w:pStyle w:val="Normal"/>
        <w:spacing w:lineRule="auto" w:line="240" w:before="0" w:after="0"/>
        <w:rPr>
          <w:rFonts w:ascii="Times New Roman" w:hAnsi="Times New Roman" w:eastAsia="Times New Roman" w:cs="Times New Roman"/>
          <w:b/>
          <w:b/>
          <w:bCs/>
          <w:color w:val="1F497D"/>
          <w:sz w:val="24"/>
          <w:szCs w:val="24"/>
        </w:rPr>
      </w:pPr>
      <w:r>
        <w:rPr>
          <w:rFonts w:eastAsia="Times New Roman" w:cs="Times New Roman" w:ascii="Times New Roman" w:hAnsi="Times New Roman"/>
          <w:b/>
          <w:bCs/>
          <w:color w:val="1F497D"/>
          <w:sz w:val="24"/>
          <w:szCs w:val="24"/>
        </w:rPr>
      </w:r>
    </w:p>
    <w:p>
      <w:pPr>
        <w:pStyle w:val="Normal"/>
        <w:spacing w:lineRule="auto" w:line="240" w:before="0" w:after="0"/>
        <w:rPr>
          <w:rFonts w:ascii="Times New Roman" w:hAnsi="Times New Roman" w:eastAsia="Times New Roman" w:cs="Times New Roman"/>
          <w:b/>
          <w:b/>
          <w:bCs/>
          <w:color w:val="1F497D"/>
          <w:sz w:val="24"/>
          <w:szCs w:val="24"/>
        </w:rPr>
      </w:pPr>
      <w:r>
        <w:rPr>
          <w:rFonts w:eastAsia="Times New Roman" w:cs="Times New Roman" w:ascii="Times New Roman" w:hAnsi="Times New Roman"/>
          <w:b/>
          <w:bCs/>
          <w:color w:val="1F497D"/>
          <w:sz w:val="24"/>
          <w:szCs w:val="24"/>
        </w:rPr>
      </w:r>
    </w:p>
    <w:p>
      <w:pPr>
        <w:pStyle w:val="Normal"/>
        <w:spacing w:lineRule="auto" w:line="240" w:before="0" w:after="0"/>
        <w:rPr>
          <w:rFonts w:ascii="Times New Roman" w:hAnsi="Times New Roman" w:eastAsia="Times New Roman" w:cs="Times New Roman"/>
          <w:b/>
          <w:b/>
          <w:bCs/>
          <w:color w:val="1F497D"/>
          <w:sz w:val="24"/>
          <w:szCs w:val="24"/>
        </w:rPr>
      </w:pPr>
      <w:r>
        <w:rPr>
          <w:rFonts w:eastAsia="Times New Roman" w:cs="Times New Roman" w:ascii="Times New Roman" w:hAnsi="Times New Roman"/>
          <w:b/>
          <w:bCs/>
          <w:color w:val="1F497D"/>
          <w:sz w:val="24"/>
          <w:szCs w:val="24"/>
        </w:rPr>
      </w:r>
    </w:p>
    <w:p>
      <w:pPr>
        <w:pStyle w:val="Normal"/>
        <w:spacing w:lineRule="auto" w:line="240" w:before="0" w:after="0"/>
        <w:rPr>
          <w:rFonts w:ascii="Times New Roman" w:hAnsi="Times New Roman" w:eastAsia="Calibri" w:cs="Times New Roman"/>
          <w:color w:val="007AD6"/>
          <w:sz w:val="24"/>
          <w:szCs w:val="24"/>
        </w:rPr>
      </w:pPr>
      <w:r>
        <w:rPr>
          <w:rFonts w:eastAsia="Times New Roman" w:cs="Times New Roman" w:ascii="Times New Roman" w:hAnsi="Times New Roman"/>
          <w:b/>
          <w:bCs/>
          <w:color w:val="007AD6"/>
          <w:sz w:val="24"/>
          <w:szCs w:val="24"/>
        </w:rPr>
        <w:t>Стратегічна ціль 3. Висока якість життя та послуг для мешканців громади</w:t>
      </w:r>
    </w:p>
    <w:p>
      <w:pPr>
        <w:pStyle w:val="Normal"/>
        <w:spacing w:lineRule="auto" w:line="240" w:before="0" w:after="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r>
    </w:p>
    <w:tbl>
      <w:tblPr>
        <w:tblW w:w="10065" w:type="dxa"/>
        <w:jc w:val="left"/>
        <w:tblInd w:w="-3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5" w:type="dxa"/>
          <w:bottom w:w="0" w:type="dxa"/>
          <w:right w:w="108" w:type="dxa"/>
        </w:tblCellMar>
        <w:tblLook w:val="01e0" w:noVBand="0" w:noHBand="0" w:lastColumn="1" w:firstColumn="1" w:lastRow="1" w:firstRow="1"/>
      </w:tblPr>
      <w:tblGrid>
        <w:gridCol w:w="1603"/>
        <w:gridCol w:w="2081"/>
        <w:gridCol w:w="6381"/>
      </w:tblGrid>
      <w:tr>
        <w:trPr>
          <w:trHeight w:val="514" w:hRule="atLeast"/>
        </w:trPr>
        <w:tc>
          <w:tcPr>
            <w:tcW w:w="16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spacing w:lineRule="auto" w:line="240" w:before="0" w:after="0"/>
              <w:ind w:left="134" w:hanging="0"/>
              <w:jc w:val="center"/>
              <w:rPr>
                <w:rFonts w:ascii="Times New Roman" w:hAnsi="Times New Roman" w:eastAsia="Calibri" w:cs="Times New Roman"/>
                <w:b/>
                <w:b/>
                <w:color w:val="00000A"/>
                <w:sz w:val="24"/>
                <w:szCs w:val="24"/>
              </w:rPr>
            </w:pPr>
            <w:r>
              <w:rPr>
                <w:rFonts w:eastAsia="Calibri" w:cs="Times New Roman" w:ascii="Times New Roman" w:hAnsi="Times New Roman"/>
                <w:b/>
                <w:color w:val="00000A"/>
                <w:sz w:val="24"/>
                <w:szCs w:val="24"/>
              </w:rPr>
              <w:t>Оперативні цілі</w:t>
            </w:r>
          </w:p>
        </w:tc>
        <w:tc>
          <w:tcPr>
            <w:tcW w:w="20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spacing w:lineRule="auto" w:line="240" w:before="0" w:after="0"/>
              <w:ind w:left="71" w:hanging="0"/>
              <w:jc w:val="center"/>
              <w:rPr>
                <w:rFonts w:ascii="Times New Roman" w:hAnsi="Times New Roman" w:eastAsia="Calibri" w:cs="Times New Roman"/>
                <w:b/>
                <w:b/>
                <w:color w:val="00000A"/>
                <w:sz w:val="24"/>
                <w:szCs w:val="24"/>
              </w:rPr>
            </w:pPr>
            <w:r>
              <w:rPr>
                <w:rFonts w:eastAsia="Calibri" w:cs="Times New Roman" w:ascii="Times New Roman" w:hAnsi="Times New Roman"/>
                <w:b/>
                <w:color w:val="00000A"/>
                <w:sz w:val="24"/>
                <w:szCs w:val="24"/>
              </w:rPr>
              <w:t>Завдання Стратегії</w:t>
            </w:r>
          </w:p>
        </w:tc>
        <w:tc>
          <w:tcPr>
            <w:tcW w:w="63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spacing w:lineRule="auto" w:line="240" w:before="0" w:after="0"/>
              <w:ind w:left="120" w:hanging="0"/>
              <w:jc w:val="center"/>
              <w:rPr>
                <w:rFonts w:ascii="Times New Roman" w:hAnsi="Times New Roman" w:eastAsia="Calibri" w:cs="Times New Roman"/>
                <w:color w:val="00000A"/>
                <w:sz w:val="24"/>
                <w:szCs w:val="24"/>
              </w:rPr>
            </w:pPr>
            <w:r>
              <w:rPr>
                <w:rFonts w:eastAsia="Calibri" w:cs="Times New Roman" w:ascii="Times New Roman" w:hAnsi="Times New Roman"/>
                <w:b/>
                <w:color w:val="00000A"/>
                <w:sz w:val="24"/>
                <w:szCs w:val="24"/>
              </w:rPr>
              <w:t>Номер і назва проекту</w:t>
            </w:r>
          </w:p>
        </w:tc>
      </w:tr>
      <w:tr>
        <w:trPr>
          <w:trHeight w:val="364" w:hRule="atLeast"/>
        </w:trPr>
        <w:tc>
          <w:tcPr>
            <w:tcW w:w="1603"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134" w:hanging="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 xml:space="preserve">3.1. Безпека громади і комфорт мешканців </w:t>
            </w:r>
          </w:p>
        </w:tc>
        <w:tc>
          <w:tcPr>
            <w:tcW w:w="20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71" w:hanging="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3.1.1. Доступність та інклюзивність</w:t>
            </w:r>
          </w:p>
        </w:tc>
        <w:tc>
          <w:tcPr>
            <w:tcW w:w="63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120" w:hanging="0"/>
              <w:contextualSpacing/>
              <w:jc w:val="both"/>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highlight w:val="white"/>
              </w:rPr>
              <w:t>57. Доступність будівель і приміщень д</w:t>
            </w:r>
            <w:r>
              <w:rPr>
                <w:rFonts w:eastAsia="Calibri" w:cs="Times New Roman" w:ascii="Times New Roman" w:hAnsi="Times New Roman"/>
                <w:color w:val="00000A"/>
                <w:sz w:val="24"/>
                <w:szCs w:val="24"/>
              </w:rPr>
              <w:t>ля людей з інвалідністю та інших маломобільних груп населення- облицювання шкільного порогу та встановлення поручнів в Чорноморівській гімназії</w:t>
            </w:r>
          </w:p>
        </w:tc>
      </w:tr>
      <w:tr>
        <w:trPr>
          <w:trHeight w:val="874" w:hRule="atLeast"/>
        </w:trPr>
        <w:tc>
          <w:tcPr>
            <w:tcW w:w="160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134" w:hanging="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r>
          </w:p>
        </w:tc>
        <w:tc>
          <w:tcPr>
            <w:tcW w:w="20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71" w:right="-94" w:hanging="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3.1.2. Підтримка та розвиток програми “Безпечне місто”</w:t>
            </w:r>
          </w:p>
        </w:tc>
        <w:tc>
          <w:tcPr>
            <w:tcW w:w="63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tabs>
                <w:tab w:val="left" w:pos="317" w:leader="none"/>
              </w:tabs>
              <w:spacing w:lineRule="auto" w:line="240" w:before="0" w:after="0"/>
              <w:ind w:left="120" w:hanging="0"/>
              <w:contextualSpacing/>
              <w:jc w:val="both"/>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 xml:space="preserve">58. Придбання та встановлення камер </w:t>
            </w:r>
            <w:r>
              <w:rPr>
                <w:rFonts w:eastAsia="Calibri" w:cs="Times New Roman" w:ascii="Times New Roman" w:hAnsi="Times New Roman"/>
                <w:color w:val="00000A"/>
                <w:sz w:val="24"/>
                <w:szCs w:val="24"/>
                <w:highlight w:val="white"/>
              </w:rPr>
              <w:t>відеоспостереження 23шт: - по старостинським округам</w:t>
            </w:r>
          </w:p>
          <w:p>
            <w:pPr>
              <w:pStyle w:val="Normal"/>
              <w:tabs>
                <w:tab w:val="left" w:pos="317" w:leader="none"/>
              </w:tabs>
              <w:spacing w:lineRule="auto" w:line="240" w:before="0" w:after="0"/>
              <w:ind w:left="120" w:hanging="0"/>
              <w:contextualSpacing/>
              <w:jc w:val="both"/>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highlight w:val="white"/>
              </w:rPr>
              <w:t xml:space="preserve">           </w:t>
            </w:r>
            <w:r>
              <w:rPr>
                <w:rFonts w:eastAsia="Calibri" w:cs="Times New Roman" w:ascii="Times New Roman" w:hAnsi="Times New Roman"/>
                <w:color w:val="00000A"/>
                <w:sz w:val="24"/>
                <w:szCs w:val="24"/>
                <w:highlight w:val="white"/>
              </w:rPr>
              <w:t>- по історико-культурним об’єктам</w:t>
            </w:r>
          </w:p>
        </w:tc>
      </w:tr>
      <w:tr>
        <w:trPr>
          <w:trHeight w:val="1082" w:hRule="atLeast"/>
        </w:trPr>
        <w:tc>
          <w:tcPr>
            <w:tcW w:w="160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134" w:hanging="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r>
          </w:p>
        </w:tc>
        <w:tc>
          <w:tcPr>
            <w:tcW w:w="20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71" w:hanging="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3.1.3. Благоустрій населених пунктів, розвиток інфраструктури відпочинку і дозвілля</w:t>
            </w:r>
          </w:p>
        </w:tc>
        <w:tc>
          <w:tcPr>
            <w:tcW w:w="63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120" w:hanging="0"/>
              <w:contextualSpacing/>
              <w:jc w:val="both"/>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highlight w:val="white"/>
              </w:rPr>
              <w:t xml:space="preserve">59. Регламентні роботи по обстеженню та поточному ремонту </w:t>
            </w:r>
            <w:r>
              <w:rPr>
                <w:rFonts w:eastAsia="Calibri" w:cs="Times New Roman" w:ascii="Times New Roman" w:hAnsi="Times New Roman"/>
                <w:color w:val="000000"/>
                <w:sz w:val="24"/>
                <w:szCs w:val="24"/>
                <w:highlight w:val="white"/>
              </w:rPr>
              <w:t>трансформаторів току в с.Роздольне</w:t>
            </w:r>
            <w:r>
              <w:rPr>
                <w:rFonts w:eastAsia="Calibri" w:cs="Times New Roman" w:ascii="Times New Roman" w:hAnsi="Times New Roman"/>
                <w:color w:val="00000A"/>
                <w:sz w:val="24"/>
                <w:szCs w:val="24"/>
                <w:highlight w:val="white"/>
              </w:rPr>
              <w:t>»</w:t>
            </w:r>
          </w:p>
          <w:p>
            <w:pPr>
              <w:pStyle w:val="Normal"/>
              <w:spacing w:lineRule="auto" w:line="240" w:before="0" w:after="0"/>
              <w:ind w:left="120" w:hanging="0"/>
              <w:contextualSpacing/>
              <w:jc w:val="both"/>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highlight w:val="white"/>
              </w:rPr>
              <w:t>60. Освітлення вулиць в с.Коробки</w:t>
            </w:r>
          </w:p>
          <w:p>
            <w:pPr>
              <w:pStyle w:val="Normal"/>
              <w:spacing w:lineRule="auto" w:line="240" w:before="0" w:after="0"/>
              <w:ind w:left="120" w:hanging="0"/>
              <w:contextualSpacing/>
              <w:jc w:val="both"/>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highlight w:val="white"/>
              </w:rPr>
              <w:t>61. Освітлення вулиць в с.Чорноморівка</w:t>
            </w:r>
          </w:p>
          <w:p>
            <w:pPr>
              <w:pStyle w:val="Normal"/>
              <w:spacing w:lineRule="auto" w:line="240" w:before="0" w:after="0"/>
              <w:ind w:left="120" w:hanging="0"/>
              <w:contextualSpacing/>
              <w:jc w:val="both"/>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highlight w:val="white"/>
              </w:rPr>
              <w:t>62.Будівництво освітлення вулиць в с. Роздольне</w:t>
            </w:r>
          </w:p>
          <w:p>
            <w:pPr>
              <w:pStyle w:val="Normal"/>
              <w:spacing w:lineRule="auto" w:line="240" w:before="0" w:after="0"/>
              <w:ind w:left="120" w:hanging="0"/>
              <w:contextualSpacing/>
              <w:jc w:val="both"/>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highlight w:val="white"/>
              </w:rPr>
              <w:t>63. Встановлення громадських вбиралень по територіальній громаді (місто Каховка та старостати)</w:t>
            </w:r>
          </w:p>
          <w:p>
            <w:pPr>
              <w:pStyle w:val="Normal"/>
              <w:spacing w:lineRule="auto" w:line="240" w:before="0" w:after="0"/>
              <w:ind w:left="120" w:hanging="0"/>
              <w:contextualSpacing/>
              <w:jc w:val="both"/>
              <w:rPr>
                <w:rFonts w:ascii="Times New Roman" w:hAnsi="Times New Roman" w:eastAsia="Calibri" w:cs="Times New Roman"/>
                <w:color w:val="00000A"/>
                <w:sz w:val="24"/>
                <w:szCs w:val="24"/>
              </w:rPr>
            </w:pPr>
            <w:r>
              <w:rPr>
                <w:rFonts w:eastAsia="Calibri" w:cs="Times New Roman" w:ascii="Times New Roman" w:hAnsi="Times New Roman"/>
                <w:color w:val="000000"/>
                <w:sz w:val="24"/>
                <w:szCs w:val="24"/>
                <w:highlight w:val="white"/>
              </w:rPr>
              <w:t>64. Оновлення експертних звітів по об’єктам:</w:t>
            </w:r>
          </w:p>
          <w:p>
            <w:pPr>
              <w:pStyle w:val="Normal"/>
              <w:spacing w:lineRule="auto" w:line="240" w:before="0" w:after="0"/>
              <w:ind w:left="120" w:hanging="0"/>
              <w:contextualSpacing/>
              <w:jc w:val="both"/>
              <w:rPr>
                <w:rFonts w:ascii="Times New Roman" w:hAnsi="Times New Roman" w:eastAsia="Calibri" w:cs="Times New Roman"/>
                <w:color w:val="00000A"/>
                <w:sz w:val="24"/>
                <w:szCs w:val="24"/>
              </w:rPr>
            </w:pPr>
            <w:r>
              <w:rPr>
                <w:rFonts w:eastAsia="Calibri" w:cs="Times New Roman" w:ascii="Times New Roman" w:hAnsi="Times New Roman"/>
                <w:color w:val="000000"/>
                <w:sz w:val="24"/>
                <w:szCs w:val="24"/>
                <w:highlight w:val="white"/>
              </w:rPr>
              <w:t>(</w:t>
            </w:r>
            <w:r>
              <w:rPr>
                <w:rFonts w:eastAsia="Calibri" w:cs="Times New Roman" w:ascii="Times New Roman" w:hAnsi="Times New Roman"/>
                <w:color w:val="000000"/>
                <w:sz w:val="24"/>
                <w:szCs w:val="24"/>
              </w:rPr>
              <w:t>реконструкція вул. Миру, проекту «Реконструкція площі біля МПК Меліоратор» в м. Каховка</w:t>
            </w:r>
            <w:r>
              <w:rPr>
                <w:rFonts w:eastAsia="Calibri" w:cs="Times New Roman" w:ascii="Times New Roman" w:hAnsi="Times New Roman"/>
                <w:color w:val="000000"/>
                <w:sz w:val="24"/>
                <w:szCs w:val="24"/>
                <w:highlight w:val="white"/>
                <w:lang w:eastAsia="ru-RU"/>
              </w:rPr>
              <w:t>)</w:t>
            </w:r>
          </w:p>
        </w:tc>
      </w:tr>
      <w:tr>
        <w:trPr>
          <w:trHeight w:val="1691" w:hRule="atLeast"/>
        </w:trPr>
        <w:tc>
          <w:tcPr>
            <w:tcW w:w="1603"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134" w:hanging="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 xml:space="preserve">3.2. Комунальне господарство та екологія </w:t>
            </w:r>
          </w:p>
        </w:tc>
        <w:tc>
          <w:tcPr>
            <w:tcW w:w="2081" w:type="dxa"/>
            <w:tcBorders>
              <w:top w:val="single" w:sz="4" w:space="0" w:color="00000A"/>
              <w:left w:val="single" w:sz="4" w:space="0" w:color="000001"/>
              <w:bottom w:val="single" w:sz="4" w:space="0" w:color="00000A"/>
              <w:right w:val="single" w:sz="4" w:space="0" w:color="000001"/>
              <w:insideH w:val="single" w:sz="4" w:space="0" w:color="00000A"/>
              <w:insideV w:val="single" w:sz="4" w:space="0" w:color="000001"/>
            </w:tcBorders>
            <w:shd w:color="auto" w:fill="FFFFFF" w:val="clear"/>
            <w:tcMar>
              <w:left w:w="-5" w:type="dxa"/>
            </w:tcMar>
          </w:tcPr>
          <w:p>
            <w:pPr>
              <w:pStyle w:val="Normal"/>
              <w:spacing w:lineRule="auto" w:line="240" w:before="0" w:after="0"/>
              <w:ind w:left="71" w:hanging="0"/>
              <w:rPr>
                <w:rFonts w:ascii="Times New Roman" w:hAnsi="Times New Roman" w:eastAsia="Calibri" w:cs="Times New Roman"/>
                <w:color w:val="00000A"/>
                <w:sz w:val="24"/>
                <w:szCs w:val="24"/>
                <w:highlight w:val="white"/>
              </w:rPr>
            </w:pPr>
            <w:r>
              <w:rPr>
                <w:rFonts w:eastAsia="Calibri" w:cs="Times New Roman" w:ascii="Times New Roman" w:hAnsi="Times New Roman"/>
                <w:color w:val="00000A"/>
                <w:sz w:val="24"/>
                <w:szCs w:val="24"/>
                <w:highlight w:val="white"/>
              </w:rPr>
              <w:t>3.2.1. Утримання комунальних будівель, водопостачання та водовідведення у населених пунктах громади</w:t>
            </w:r>
          </w:p>
        </w:tc>
        <w:tc>
          <w:tcPr>
            <w:tcW w:w="63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120" w:hanging="0"/>
              <w:contextualSpacing/>
              <w:jc w:val="both"/>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highlight w:val="white"/>
              </w:rPr>
              <w:t>65.Впровадження програми енергоменеджменту</w:t>
            </w:r>
          </w:p>
          <w:p>
            <w:pPr>
              <w:pStyle w:val="Normal"/>
              <w:spacing w:lineRule="auto" w:line="240" w:before="0" w:after="0"/>
              <w:ind w:left="120" w:hanging="0"/>
              <w:contextualSpacing/>
              <w:jc w:val="both"/>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highlight w:val="white"/>
              </w:rPr>
              <w:t>66. Капітальний ремонт башти Рожновського та оновлення цілодобового водопостачання у с.Коробки</w:t>
            </w:r>
          </w:p>
          <w:p>
            <w:pPr>
              <w:pStyle w:val="Normal"/>
              <w:spacing w:lineRule="auto" w:line="240" w:before="0" w:after="0"/>
              <w:ind w:left="120" w:hanging="0"/>
              <w:jc w:val="both"/>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highlight w:val="white"/>
              </w:rPr>
              <w:t xml:space="preserve">67. Поточний ремонт </w:t>
            </w:r>
            <w:r>
              <w:rPr>
                <w:rFonts w:eastAsia="Calibri" w:cs="Times New Roman" w:ascii="Times New Roman" w:hAnsi="Times New Roman"/>
                <w:color w:val="000000"/>
                <w:sz w:val="24"/>
                <w:szCs w:val="24"/>
                <w:highlight w:val="white"/>
              </w:rPr>
              <w:t>покрівель багатоповерхових будинків в с.Роздольне</w:t>
            </w:r>
          </w:p>
          <w:p>
            <w:pPr>
              <w:pStyle w:val="Normal"/>
              <w:spacing w:lineRule="auto" w:line="240" w:before="0" w:after="0"/>
              <w:ind w:left="120" w:hanging="0"/>
              <w:contextualSpacing/>
              <w:jc w:val="both"/>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highlight w:val="white"/>
              </w:rPr>
              <w:t>68. «Поточний ремонт порогу адмінприміщення Роздольненського старостинського округу»</w:t>
            </w:r>
          </w:p>
          <w:p>
            <w:pPr>
              <w:pStyle w:val="Normal"/>
              <w:spacing w:lineRule="auto" w:line="240" w:before="0" w:after="0"/>
              <w:ind w:left="120" w:hanging="0"/>
              <w:contextualSpacing/>
              <w:jc w:val="both"/>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highlight w:val="white"/>
              </w:rPr>
              <w:t xml:space="preserve">69. </w:t>
            </w:r>
            <w:r>
              <w:rPr>
                <w:rFonts w:eastAsia="Calibri" w:cs="Times New Roman" w:ascii="Times New Roman" w:hAnsi="Times New Roman"/>
                <w:color w:val="000000"/>
                <w:sz w:val="24"/>
                <w:szCs w:val="24"/>
                <w:highlight w:val="white"/>
                <w:shd w:fill="FFFFFF" w:val="clear"/>
              </w:rPr>
              <w:t>Капітальний ремонт системи каналізації з автономними очисними спорудами в с. Роздольне</w:t>
            </w:r>
          </w:p>
          <w:p>
            <w:pPr>
              <w:pStyle w:val="Normal"/>
              <w:spacing w:lineRule="auto" w:line="240" w:before="0" w:after="0"/>
              <w:ind w:left="120" w:hanging="0"/>
              <w:contextualSpacing/>
              <w:jc w:val="both"/>
              <w:rPr>
                <w:rFonts w:ascii="Times New Roman" w:hAnsi="Times New Roman" w:eastAsia="Calibri" w:cs="Times New Roman"/>
                <w:color w:val="00000A"/>
                <w:sz w:val="24"/>
                <w:szCs w:val="24"/>
              </w:rPr>
            </w:pPr>
            <w:r>
              <w:rPr>
                <w:rFonts w:eastAsia="Calibri" w:cs="Times New Roman" w:ascii="Times New Roman" w:hAnsi="Times New Roman"/>
                <w:color w:val="000000"/>
                <w:sz w:val="24"/>
                <w:szCs w:val="24"/>
                <w:highlight w:val="white"/>
                <w:shd w:fill="FFFFFF" w:val="clear"/>
              </w:rPr>
              <w:t xml:space="preserve">70. Поточний ремонт </w:t>
            </w:r>
            <w:r>
              <w:rPr>
                <w:rFonts w:eastAsia="Calibri" w:cs="Times New Roman" w:ascii="Times New Roman" w:hAnsi="Times New Roman"/>
                <w:color w:val="000000"/>
                <w:sz w:val="24"/>
                <w:szCs w:val="24"/>
                <w:highlight w:val="white"/>
              </w:rPr>
              <w:t>пожежного гідранту в с. Роздольне, встановлення пристроїв для забору води на артезіанських свердловинах, встановлення покажчиків джерел пожежного водопостачання</w:t>
            </w:r>
          </w:p>
          <w:p>
            <w:pPr>
              <w:pStyle w:val="Normal"/>
              <w:spacing w:lineRule="auto" w:line="240" w:before="0" w:after="0"/>
              <w:ind w:left="120" w:hanging="0"/>
              <w:contextualSpacing/>
              <w:jc w:val="both"/>
              <w:rPr>
                <w:rFonts w:ascii="Times New Roman" w:hAnsi="Times New Roman" w:eastAsia="Calibri" w:cs="Times New Roman"/>
                <w:color w:val="00000A"/>
                <w:sz w:val="24"/>
                <w:szCs w:val="24"/>
              </w:rPr>
            </w:pPr>
            <w:r>
              <w:rPr>
                <w:rFonts w:eastAsia="Calibri" w:cs="Times New Roman" w:ascii="Times New Roman" w:hAnsi="Times New Roman"/>
                <w:color w:val="000000"/>
                <w:sz w:val="24"/>
                <w:szCs w:val="24"/>
                <w:highlight w:val="white"/>
              </w:rPr>
              <w:t>71. Капітальний та поточний ремонт адмінбудівлі Чорноморівського старостинського округу та ФАПУ</w:t>
            </w:r>
          </w:p>
          <w:p>
            <w:pPr>
              <w:pStyle w:val="Normal"/>
              <w:spacing w:lineRule="auto" w:line="240" w:before="0" w:after="0"/>
              <w:ind w:left="120" w:hanging="0"/>
              <w:contextualSpacing/>
              <w:jc w:val="both"/>
              <w:rPr>
                <w:rFonts w:ascii="Times New Roman" w:hAnsi="Times New Roman" w:eastAsia="Calibri" w:cs="Times New Roman"/>
                <w:color w:val="00000A"/>
                <w:sz w:val="24"/>
                <w:szCs w:val="24"/>
              </w:rPr>
            </w:pPr>
            <w:r>
              <w:rPr>
                <w:rFonts w:eastAsia="Calibri" w:cs="Times New Roman" w:ascii="Times New Roman" w:hAnsi="Times New Roman"/>
                <w:color w:val="000000"/>
                <w:sz w:val="24"/>
                <w:szCs w:val="24"/>
                <w:highlight w:val="white"/>
              </w:rPr>
              <w:t>72. Буріння нової артезіанської свердловини з питною водою у с.Чорноморівка</w:t>
            </w:r>
          </w:p>
        </w:tc>
      </w:tr>
      <w:tr>
        <w:trPr>
          <w:trHeight w:val="1750" w:hRule="atLeast"/>
        </w:trPr>
        <w:tc>
          <w:tcPr>
            <w:tcW w:w="160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134" w:hanging="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r>
          </w:p>
        </w:tc>
        <w:tc>
          <w:tcPr>
            <w:tcW w:w="2081" w:type="dxa"/>
            <w:tcBorders>
              <w:top w:val="single" w:sz="4" w:space="0" w:color="00000A"/>
              <w:left w:val="single" w:sz="4" w:space="0" w:color="000001"/>
              <w:bottom w:val="single" w:sz="4" w:space="0" w:color="00000A"/>
              <w:right w:val="single" w:sz="4" w:space="0" w:color="000001"/>
              <w:insideH w:val="single" w:sz="4" w:space="0" w:color="00000A"/>
              <w:insideV w:val="single" w:sz="4" w:space="0" w:color="000001"/>
            </w:tcBorders>
            <w:shd w:color="auto" w:fill="FFFFFF" w:val="clear"/>
            <w:tcMar>
              <w:left w:w="-5" w:type="dxa"/>
            </w:tcMar>
          </w:tcPr>
          <w:p>
            <w:pPr>
              <w:pStyle w:val="Normal"/>
              <w:spacing w:lineRule="auto" w:line="240" w:before="0" w:after="0"/>
              <w:ind w:left="71" w:hanging="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3.2.2. Охорона навколишнього середовища та поводження з ТПВ</w:t>
            </w:r>
          </w:p>
        </w:tc>
        <w:tc>
          <w:tcPr>
            <w:tcW w:w="63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tabs>
                <w:tab w:val="left" w:pos="317" w:leader="none"/>
              </w:tabs>
              <w:spacing w:lineRule="auto" w:line="240" w:before="0" w:after="0"/>
              <w:ind w:left="120" w:hanging="0"/>
              <w:contextualSpacing/>
              <w:jc w:val="both"/>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73. Розробка та затвердження Програми ”Благоустрій та озеленення громади”</w:t>
            </w:r>
          </w:p>
          <w:p>
            <w:pPr>
              <w:pStyle w:val="Normal"/>
              <w:tabs>
                <w:tab w:val="left" w:pos="317" w:leader="none"/>
              </w:tabs>
              <w:spacing w:lineRule="auto" w:line="240" w:before="0" w:after="0"/>
              <w:ind w:left="120" w:hanging="0"/>
              <w:contextualSpacing/>
              <w:jc w:val="both"/>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highlight w:val="white"/>
              </w:rPr>
              <w:t>74. Оновлення технічної документації по проекту ”</w:t>
            </w:r>
            <w:r>
              <w:rPr>
                <w:rFonts w:eastAsia="Calibri" w:cs="Times New Roman" w:ascii="Times New Roman" w:hAnsi="Times New Roman"/>
                <w:color w:val="00000A"/>
                <w:sz w:val="24"/>
                <w:szCs w:val="24"/>
                <w:highlight w:val="white"/>
                <w:lang w:eastAsia="ru-RU"/>
              </w:rPr>
              <w:t xml:space="preserve">Реконструкція міського полігону ТПВ </w:t>
            </w:r>
            <w:r>
              <w:rPr>
                <w:rFonts w:eastAsia="Calibri" w:cs="Times New Roman" w:ascii="Times New Roman" w:hAnsi="Times New Roman"/>
                <w:color w:val="00000A"/>
                <w:sz w:val="24"/>
                <w:szCs w:val="24"/>
                <w:highlight w:val="white"/>
              </w:rPr>
              <w:t>”</w:t>
            </w:r>
          </w:p>
          <w:p>
            <w:pPr>
              <w:pStyle w:val="Normal"/>
              <w:tabs>
                <w:tab w:val="left" w:pos="317" w:leader="none"/>
              </w:tabs>
              <w:spacing w:lineRule="auto" w:line="240" w:before="0" w:after="0"/>
              <w:ind w:left="120" w:hanging="0"/>
              <w:contextualSpacing/>
              <w:jc w:val="both"/>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highlight w:val="white"/>
              </w:rPr>
              <w:t>75. Програма забезпечення екологічного стану міста( боротьба з амброзією)</w:t>
            </w:r>
          </w:p>
        </w:tc>
      </w:tr>
      <w:tr>
        <w:trPr>
          <w:trHeight w:val="408" w:hRule="atLeast"/>
        </w:trPr>
        <w:tc>
          <w:tcPr>
            <w:tcW w:w="160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134" w:hanging="0"/>
              <w:rPr>
                <w:rFonts w:ascii="Times New Roman" w:hAnsi="Times New Roman" w:eastAsia="Calibri" w:cs="Times New Roman"/>
                <w:color w:val="00000A"/>
                <w:sz w:val="24"/>
                <w:szCs w:val="24"/>
              </w:rPr>
            </w:pPr>
            <w:bookmarkStart w:id="151" w:name="_Hlk21377289"/>
            <w:bookmarkStart w:id="152" w:name="_Hlk21377289"/>
            <w:bookmarkEnd w:id="152"/>
            <w:r>
              <w:rPr>
                <w:rFonts w:eastAsia="Calibri" w:cs="Times New Roman" w:ascii="Times New Roman" w:hAnsi="Times New Roman"/>
                <w:color w:val="00000A"/>
                <w:sz w:val="24"/>
                <w:szCs w:val="24"/>
              </w:rPr>
            </w:r>
          </w:p>
        </w:tc>
        <w:tc>
          <w:tcPr>
            <w:tcW w:w="2081" w:type="dxa"/>
            <w:tcBorders>
              <w:top w:val="single" w:sz="4" w:space="0" w:color="00000A"/>
              <w:left w:val="single" w:sz="4" w:space="0" w:color="000001"/>
              <w:bottom w:val="single" w:sz="4" w:space="0" w:color="00000A"/>
              <w:right w:val="single" w:sz="4" w:space="0" w:color="000001"/>
              <w:insideH w:val="single" w:sz="4" w:space="0" w:color="00000A"/>
              <w:insideV w:val="single" w:sz="4" w:space="0" w:color="000001"/>
            </w:tcBorders>
            <w:shd w:color="auto" w:fill="FFFFFF" w:val="clear"/>
            <w:tcMar>
              <w:left w:w="-5" w:type="dxa"/>
            </w:tcMar>
          </w:tcPr>
          <w:p>
            <w:pPr>
              <w:pStyle w:val="Normal"/>
              <w:spacing w:lineRule="auto" w:line="240" w:before="0" w:after="0"/>
              <w:ind w:left="71" w:hanging="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 xml:space="preserve">3.2.3. Розвиток дорожньої інфраструктури </w:t>
            </w:r>
          </w:p>
        </w:tc>
        <w:tc>
          <w:tcPr>
            <w:tcW w:w="63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tcPr>
          <w:p>
            <w:pPr>
              <w:pStyle w:val="Normal"/>
              <w:spacing w:lineRule="auto" w:line="240" w:before="0" w:after="0"/>
              <w:ind w:left="120" w:hanging="0"/>
              <w:contextualSpacing/>
              <w:jc w:val="both"/>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76. Капітальний та поточний ремонт доріг Каховської громади:</w:t>
            </w:r>
          </w:p>
          <w:p>
            <w:pPr>
              <w:pStyle w:val="Normal"/>
              <w:spacing w:lineRule="auto" w:line="240" w:before="0" w:after="0"/>
              <w:ind w:left="120" w:hanging="0"/>
              <w:contextualSpacing/>
              <w:jc w:val="both"/>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 xml:space="preserve">77. Будівництво </w:t>
            </w:r>
            <w:r>
              <w:rPr>
                <w:rFonts w:eastAsia="Calibri" w:cs="Times New Roman" w:ascii="Times New Roman" w:hAnsi="Times New Roman"/>
                <w:color w:val="000000"/>
                <w:sz w:val="24"/>
                <w:szCs w:val="24"/>
              </w:rPr>
              <w:t xml:space="preserve">асфальтобетонного покриття </w:t>
            </w:r>
            <w:r>
              <w:rPr>
                <w:rFonts w:eastAsia="Calibri" w:cs="Times New Roman" w:ascii="Times New Roman" w:hAnsi="Times New Roman"/>
                <w:color w:val="00000A"/>
                <w:sz w:val="24"/>
                <w:szCs w:val="24"/>
              </w:rPr>
              <w:t xml:space="preserve">проїжджої частини пров. Херсонський с. Роздольне», </w:t>
            </w:r>
          </w:p>
          <w:p>
            <w:pPr>
              <w:pStyle w:val="Normal"/>
              <w:spacing w:lineRule="auto" w:line="240" w:before="0" w:after="0"/>
              <w:ind w:left="120" w:hanging="0"/>
              <w:contextualSpacing/>
              <w:jc w:val="both"/>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78. Капітальний та поточний ремонт ремонт проїжджої частини пров. Херсонський с. Роздольне» с.Коробки</w:t>
            </w:r>
          </w:p>
          <w:p>
            <w:pPr>
              <w:pStyle w:val="Normal"/>
              <w:spacing w:lineRule="auto" w:line="240" w:before="0" w:after="0"/>
              <w:ind w:left="120" w:hanging="0"/>
              <w:contextualSpacing/>
              <w:jc w:val="both"/>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79. Капітальний та поточний ремонт доріг в с.Чорноморівка</w:t>
            </w:r>
          </w:p>
          <w:p>
            <w:pPr>
              <w:pStyle w:val="Normal"/>
              <w:spacing w:lineRule="auto" w:line="240" w:before="0" w:after="0"/>
              <w:ind w:left="120" w:hanging="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t xml:space="preserve">80. Поточний ремонт </w:t>
            </w:r>
            <w:r>
              <w:rPr>
                <w:rFonts w:eastAsia="Calibri" w:cs="Times New Roman" w:ascii="Times New Roman" w:hAnsi="Times New Roman"/>
                <w:color w:val="000000"/>
                <w:sz w:val="24"/>
                <w:szCs w:val="24"/>
              </w:rPr>
              <w:t xml:space="preserve">асфальтобетонного покриття </w:t>
            </w:r>
            <w:r>
              <w:rPr>
                <w:rFonts w:eastAsia="Calibri" w:cs="Times New Roman" w:ascii="Times New Roman" w:hAnsi="Times New Roman"/>
                <w:color w:val="00000A"/>
                <w:sz w:val="24"/>
                <w:szCs w:val="24"/>
              </w:rPr>
              <w:t>проїжджої частини вул. Шкільна, вул.Шуменська, вул.Херсонська с. Роздольне»</w:t>
            </w:r>
          </w:p>
        </w:tc>
      </w:tr>
    </w:tbl>
    <w:p>
      <w:pPr>
        <w:pStyle w:val="Normal"/>
        <w:spacing w:lineRule="auto" w:line="240" w:before="0" w:after="0"/>
        <w:rPr>
          <w:rFonts w:ascii="Times New Roman" w:hAnsi="Times New Roman" w:eastAsia="Calibri" w:cs="Times New Roman"/>
          <w:color w:val="00000A"/>
          <w:sz w:val="24"/>
          <w:szCs w:val="24"/>
        </w:rPr>
      </w:pPr>
      <w:r>
        <w:rPr>
          <w:rFonts w:eastAsia="Calibri" w:cs="Times New Roman" w:ascii="Times New Roman" w:hAnsi="Times New Roman"/>
          <w:color w:val="00000A"/>
          <w:sz w:val="24"/>
          <w:szCs w:val="24"/>
        </w:rPr>
      </w:r>
    </w:p>
    <w:p>
      <w:pPr>
        <w:pStyle w:val="Normal"/>
        <w:keepNext/>
        <w:keepLines/>
        <w:numPr>
          <w:ilvl w:val="0"/>
          <w:numId w:val="0"/>
        </w:numPr>
        <w:tabs>
          <w:tab w:val="left" w:pos="567" w:leader="none"/>
        </w:tabs>
        <w:spacing w:lineRule="auto" w:line="240" w:before="0" w:after="0"/>
        <w:outlineLvl w:val="1"/>
        <w:rPr>
          <w:rFonts w:ascii="Times New Roman" w:hAnsi="Times New Roman" w:eastAsia="Times New Roman" w:cs="Times New Roman"/>
          <w:b/>
          <w:b/>
          <w:bCs/>
          <w:sz w:val="24"/>
          <w:szCs w:val="24"/>
        </w:rPr>
      </w:pPr>
      <w:bookmarkStart w:id="153" w:name="_Toc42617125"/>
      <w:bookmarkStart w:id="154" w:name="_Toc84967197"/>
      <w:bookmarkEnd w:id="153"/>
      <w:bookmarkEnd w:id="154"/>
      <w:r>
        <w:rPr>
          <w:rFonts w:eastAsia="Times New Roman" w:cs="Times New Roman" w:ascii="Times New Roman" w:hAnsi="Times New Roman"/>
          <w:b/>
          <w:bCs/>
          <w:sz w:val="24"/>
          <w:szCs w:val="24"/>
        </w:rPr>
        <w:t>Інституційне та організаційне забезпечення реалізації Стратегії</w:t>
      </w:r>
    </w:p>
    <w:p>
      <w:pPr>
        <w:pStyle w:val="Normal"/>
        <w:spacing w:lineRule="auto" w:line="240" w:before="0" w:after="0"/>
        <w:jc w:val="both"/>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ind w:firstLine="708"/>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Реалізація Стратегії розвитку Каховської громади передбачає виконання одночасно багатьох завдань різними структурами виконкому міської ради за участі багатьох партнерів, що ставить перед керівництвом громади питання раціонального управління цим доволі складним процесом. </w:t>
      </w:r>
    </w:p>
    <w:p>
      <w:pPr>
        <w:pStyle w:val="Normal"/>
        <w:spacing w:lineRule="auto" w:line="240" w:before="0" w:after="0"/>
        <w:ind w:firstLine="708"/>
        <w:jc w:val="both"/>
        <w:rPr>
          <w:rFonts w:ascii="Times New Roman" w:hAnsi="Times New Roman" w:eastAsia="Calibri" w:cs="Times New Roman"/>
          <w:sz w:val="24"/>
          <w:szCs w:val="24"/>
        </w:rPr>
      </w:pPr>
      <w:r>
        <w:rPr>
          <w:rFonts w:eastAsia="Calibri" w:cs="Times New Roman" w:ascii="Times New Roman" w:hAnsi="Times New Roman"/>
          <w:sz w:val="24"/>
          <w:szCs w:val="24"/>
        </w:rPr>
        <w:t>Його адміністрування здійснюється виконавчим комітетом та відповідними структурними підрозділами міської ради. З метою координації дій розпорядженням міського голови створюється постійно діючий Комітет з управління впровадженням Стратегії розвитку громади (далі – КУВ). До складу КУВ входять відповідальні за виконання завдань. Очолює КУВ посадова особа з керівників громади. Повний склад КУВ та персональна відповідальність за реалізацію завдань Стратегії визначається розпорядженням міського голови. КУВ збирається не рідше одну разу на рік та виконує наступні функції:</w:t>
      </w:r>
    </w:p>
    <w:p>
      <w:pPr>
        <w:pStyle w:val="Normal"/>
        <w:numPr>
          <w:ilvl w:val="0"/>
          <w:numId w:val="12"/>
        </w:numPr>
        <w:spacing w:lineRule="auto" w:line="240" w:before="0" w:after="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організовує взаємодію підрозділів виконавчих органів міської ради, органів державної влади, підприємств та установ громади в процесі реалізації Стратегії, програм та проєктів громади; </w:t>
      </w:r>
    </w:p>
    <w:p>
      <w:pPr>
        <w:pStyle w:val="Normal"/>
        <w:numPr>
          <w:ilvl w:val="0"/>
          <w:numId w:val="12"/>
        </w:numPr>
        <w:spacing w:lineRule="auto" w:line="240" w:before="0" w:after="0"/>
        <w:jc w:val="both"/>
        <w:rPr>
          <w:rFonts w:ascii="Times New Roman" w:hAnsi="Times New Roman" w:eastAsia="Calibri" w:cs="Times New Roman"/>
          <w:sz w:val="24"/>
          <w:szCs w:val="24"/>
        </w:rPr>
      </w:pPr>
      <w:r>
        <w:rPr>
          <w:rFonts w:eastAsia="Calibri" w:cs="Times New Roman" w:ascii="Times New Roman" w:hAnsi="Times New Roman"/>
          <w:sz w:val="24"/>
          <w:szCs w:val="24"/>
        </w:rPr>
        <w:t>здійснює підготовку щорічних звітів про стан реалізації стратегічного плану, надає їх міському голові та презентує на останньому в році черговому пленарному засіданні міської ради. Повний текст звіту підлягає обов’язковому розміщенню на офіційному сайті Каховської громади.</w:t>
      </w:r>
    </w:p>
    <w:p>
      <w:pPr>
        <w:pStyle w:val="Normal"/>
        <w:spacing w:lineRule="auto" w:line="240" w:before="0" w:after="0"/>
        <w:ind w:firstLine="708"/>
        <w:jc w:val="both"/>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p>
      <w:pPr>
        <w:pStyle w:val="Normal"/>
        <w:spacing w:lineRule="auto" w:line="240" w:before="0" w:after="0"/>
        <w:ind w:firstLine="708"/>
        <w:jc w:val="both"/>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t xml:space="preserve">Система управління стратегією має два рівні: політичний та технічний. </w:t>
      </w:r>
    </w:p>
    <w:p>
      <w:pPr>
        <w:pStyle w:val="Normal"/>
        <w:spacing w:lineRule="auto" w:line="240" w:before="120" w:after="0"/>
        <w:jc w:val="both"/>
        <w:rPr>
          <w:rFonts w:ascii="Times New Roman" w:hAnsi="Times New Roman" w:eastAsia="Calibri" w:cs="Times New Roman"/>
          <w:sz w:val="24"/>
          <w:szCs w:val="24"/>
          <w:lang w:eastAsia="ru-RU"/>
        </w:rPr>
      </w:pPr>
      <w:r>
        <w:rPr>
          <w:rFonts w:eastAsia="Calibri" w:cs="Times New Roman" w:ascii="Times New Roman" w:hAnsi="Times New Roman"/>
          <w:b/>
          <w:sz w:val="24"/>
          <w:szCs w:val="24"/>
          <w:lang w:eastAsia="ru-RU"/>
        </w:rPr>
        <w:t>Політичний</w:t>
      </w:r>
      <w:r>
        <w:rPr>
          <w:rFonts w:eastAsia="Calibri" w:cs="Times New Roman" w:ascii="Times New Roman" w:hAnsi="Times New Roman"/>
          <w:sz w:val="24"/>
          <w:szCs w:val="24"/>
          <w:lang w:eastAsia="ru-RU"/>
        </w:rPr>
        <w:t xml:space="preserve"> рівень забезпечує особисто міський голова, виконком та міська рада. На цьому рівні заслуховуються та затверджуються звіти Комітету з управління впровадженням </w:t>
      </w:r>
      <w:r>
        <w:rPr>
          <w:rFonts w:eastAsia="Calibri" w:cs="Times New Roman" w:ascii="Times New Roman" w:hAnsi="Times New Roman"/>
          <w:sz w:val="24"/>
          <w:szCs w:val="24"/>
        </w:rPr>
        <w:t>стратегії</w:t>
      </w:r>
      <w:r>
        <w:rPr>
          <w:rFonts w:eastAsia="Calibri" w:cs="Times New Roman" w:ascii="Times New Roman" w:hAnsi="Times New Roman"/>
          <w:sz w:val="24"/>
          <w:szCs w:val="24"/>
          <w:lang w:eastAsia="ru-RU"/>
        </w:rPr>
        <w:t xml:space="preserve">, пропозиції щодо внесення змін (оновлення) </w:t>
      </w:r>
      <w:r>
        <w:rPr>
          <w:rFonts w:eastAsia="Calibri" w:cs="Times New Roman" w:ascii="Times New Roman" w:hAnsi="Times New Roman"/>
          <w:sz w:val="24"/>
          <w:szCs w:val="24"/>
        </w:rPr>
        <w:t>стратегії</w:t>
      </w:r>
      <w:r>
        <w:rPr>
          <w:rFonts w:eastAsia="Calibri" w:cs="Times New Roman" w:ascii="Times New Roman" w:hAnsi="Times New Roman"/>
          <w:sz w:val="24"/>
          <w:szCs w:val="24"/>
          <w:lang w:eastAsia="ru-RU"/>
        </w:rPr>
        <w:t xml:space="preserve">. Міська рада приймає рішення щодо внесення змін до </w:t>
      </w:r>
      <w:r>
        <w:rPr>
          <w:rFonts w:eastAsia="Calibri" w:cs="Times New Roman" w:ascii="Times New Roman" w:hAnsi="Times New Roman"/>
          <w:sz w:val="24"/>
          <w:szCs w:val="24"/>
        </w:rPr>
        <w:t xml:space="preserve">Стратегії </w:t>
      </w:r>
      <w:r>
        <w:rPr>
          <w:rFonts w:eastAsia="Calibri" w:cs="Times New Roman" w:ascii="Times New Roman" w:hAnsi="Times New Roman"/>
          <w:sz w:val="24"/>
          <w:szCs w:val="24"/>
          <w:lang w:eastAsia="ru-RU"/>
        </w:rPr>
        <w:t>на підставі пропозицій міського голови.</w:t>
      </w:r>
    </w:p>
    <w:p>
      <w:pPr>
        <w:pStyle w:val="Normal"/>
        <w:spacing w:lineRule="auto" w:line="240" w:before="120" w:after="0"/>
        <w:jc w:val="both"/>
        <w:rPr>
          <w:rFonts w:ascii="Times New Roman" w:hAnsi="Times New Roman" w:eastAsia="Calibri" w:cs="Times New Roman"/>
          <w:sz w:val="24"/>
          <w:szCs w:val="24"/>
          <w:lang w:eastAsia="ru-RU"/>
        </w:rPr>
      </w:pPr>
      <w:r>
        <w:rPr>
          <w:rFonts w:eastAsia="Calibri" w:cs="Times New Roman" w:ascii="Times New Roman" w:hAnsi="Times New Roman"/>
          <w:b/>
          <w:sz w:val="24"/>
          <w:szCs w:val="24"/>
          <w:lang w:eastAsia="ru-RU"/>
        </w:rPr>
        <w:t>Технічний</w:t>
      </w:r>
      <w:r>
        <w:rPr>
          <w:rFonts w:eastAsia="Calibri" w:cs="Times New Roman" w:ascii="Times New Roman" w:hAnsi="Times New Roman"/>
          <w:sz w:val="24"/>
          <w:szCs w:val="24"/>
          <w:lang w:eastAsia="ru-RU"/>
        </w:rPr>
        <w:t xml:space="preserve"> рівень управління і моніторингу виконує спеціально створений Комітет з управління впровадженням (КУВ) </w:t>
      </w:r>
      <w:r>
        <w:rPr>
          <w:rFonts w:eastAsia="Calibri" w:cs="Times New Roman" w:ascii="Times New Roman" w:hAnsi="Times New Roman"/>
          <w:sz w:val="24"/>
          <w:szCs w:val="24"/>
        </w:rPr>
        <w:t>стратегії</w:t>
      </w:r>
      <w:r>
        <w:rPr>
          <w:rFonts w:eastAsia="Calibri" w:cs="Times New Roman" w:ascii="Times New Roman" w:hAnsi="Times New Roman"/>
          <w:sz w:val="24"/>
          <w:szCs w:val="24"/>
          <w:lang w:eastAsia="ru-RU"/>
        </w:rPr>
        <w:t>, який:</w:t>
      </w:r>
    </w:p>
    <w:p>
      <w:pPr>
        <w:pStyle w:val="Normal"/>
        <w:numPr>
          <w:ilvl w:val="0"/>
          <w:numId w:val="11"/>
        </w:numPr>
        <w:spacing w:lineRule="auto" w:line="240" w:before="0" w:after="0"/>
        <w:contextualSpacing/>
        <w:jc w:val="both"/>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t xml:space="preserve">забезпечує виконання завдань </w:t>
      </w:r>
      <w:r>
        <w:rPr>
          <w:rFonts w:eastAsia="Calibri" w:cs="Times New Roman" w:ascii="Times New Roman" w:hAnsi="Times New Roman"/>
          <w:sz w:val="24"/>
          <w:szCs w:val="24"/>
          <w:lang w:eastAsia="ja-JP"/>
        </w:rPr>
        <w:t xml:space="preserve">стратегії </w:t>
      </w:r>
      <w:r>
        <w:rPr>
          <w:rFonts w:eastAsia="Calibri" w:cs="Times New Roman" w:ascii="Times New Roman" w:hAnsi="Times New Roman"/>
          <w:sz w:val="24"/>
          <w:szCs w:val="24"/>
          <w:lang w:eastAsia="ru-RU"/>
        </w:rPr>
        <w:t xml:space="preserve">згідно затвердженого плану, </w:t>
      </w:r>
    </w:p>
    <w:p>
      <w:pPr>
        <w:pStyle w:val="Normal"/>
        <w:numPr>
          <w:ilvl w:val="0"/>
          <w:numId w:val="11"/>
        </w:numPr>
        <w:spacing w:lineRule="auto" w:line="240" w:before="0" w:after="0"/>
        <w:contextualSpacing/>
        <w:jc w:val="both"/>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t xml:space="preserve">здійснює моніторинг соціально-економічного стану громади за визначеними показниками, </w:t>
      </w:r>
    </w:p>
    <w:p>
      <w:pPr>
        <w:pStyle w:val="Normal"/>
        <w:numPr>
          <w:ilvl w:val="0"/>
          <w:numId w:val="11"/>
        </w:numPr>
        <w:spacing w:lineRule="auto" w:line="240" w:before="0" w:after="0"/>
        <w:contextualSpacing/>
        <w:jc w:val="both"/>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t xml:space="preserve">аналізує співвідношення основних соціально-економічних показників громади та зовнішнього середовища (області, країни, світу тощо), </w:t>
      </w:r>
    </w:p>
    <w:p>
      <w:pPr>
        <w:pStyle w:val="Normal"/>
        <w:numPr>
          <w:ilvl w:val="0"/>
          <w:numId w:val="11"/>
        </w:numPr>
        <w:spacing w:lineRule="auto" w:line="240" w:before="0" w:after="0"/>
        <w:contextualSpacing/>
        <w:jc w:val="both"/>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t xml:space="preserve">вивчає основні політичні, економічні, фінансові, соціальні, наукові, технологічні і т.д. тенденції, визначає їх впливи на громаду, </w:t>
      </w:r>
    </w:p>
    <w:p>
      <w:pPr>
        <w:pStyle w:val="Normal"/>
        <w:numPr>
          <w:ilvl w:val="0"/>
          <w:numId w:val="11"/>
        </w:numPr>
        <w:spacing w:lineRule="auto" w:line="240" w:before="0" w:after="0"/>
        <w:contextualSpacing/>
        <w:jc w:val="both"/>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t xml:space="preserve">формує пропозиції стратегічних сценаріїв в нових політичних, соціально-економічних умовах зовнішнього середовища, </w:t>
      </w:r>
    </w:p>
    <w:p>
      <w:pPr>
        <w:pStyle w:val="Normal"/>
        <w:numPr>
          <w:ilvl w:val="0"/>
          <w:numId w:val="11"/>
        </w:numPr>
        <w:spacing w:lineRule="auto" w:line="240" w:before="0" w:after="0"/>
        <w:contextualSpacing/>
        <w:jc w:val="both"/>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t xml:space="preserve">аналізує соціально-економічні тенденції найближчих конкурентів у порівнянні з показниками громади, аналізує загрози, які надходять від конкурентів, </w:t>
      </w:r>
    </w:p>
    <w:p>
      <w:pPr>
        <w:pStyle w:val="Normal"/>
        <w:numPr>
          <w:ilvl w:val="0"/>
          <w:numId w:val="11"/>
        </w:numPr>
        <w:spacing w:lineRule="auto" w:line="240" w:before="0" w:after="0"/>
        <w:contextualSpacing/>
        <w:jc w:val="both"/>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t xml:space="preserve">формує пропозиції змін до цілей і завдань, які необхідно вносити до </w:t>
      </w:r>
      <w:r>
        <w:rPr>
          <w:rFonts w:eastAsia="Calibri" w:cs="Times New Roman" w:ascii="Times New Roman" w:hAnsi="Times New Roman"/>
          <w:sz w:val="24"/>
          <w:szCs w:val="24"/>
          <w:lang w:eastAsia="ja-JP"/>
        </w:rPr>
        <w:t xml:space="preserve">стратегії </w:t>
      </w:r>
      <w:r>
        <w:rPr>
          <w:rFonts w:eastAsia="Calibri" w:cs="Times New Roman" w:ascii="Times New Roman" w:hAnsi="Times New Roman"/>
          <w:sz w:val="24"/>
          <w:szCs w:val="24"/>
          <w:lang w:eastAsia="ru-RU"/>
        </w:rPr>
        <w:t>як відповідь на виявлені нові загрози і можливості.</w:t>
      </w:r>
    </w:p>
    <w:p>
      <w:pPr>
        <w:pStyle w:val="Normal"/>
        <w:spacing w:lineRule="auto" w:line="240" w:before="0" w:after="0"/>
        <w:jc w:val="both"/>
        <w:rPr>
          <w:rFonts w:ascii="Times New Roman" w:hAnsi="Times New Roman" w:eastAsia="Calibri" w:cs="Times New Roman"/>
          <w:sz w:val="16"/>
          <w:szCs w:val="16"/>
        </w:rPr>
      </w:pPr>
      <w:r>
        <w:rPr>
          <w:rFonts w:eastAsia="Calibri" w:cs="Times New Roman" w:ascii="Times New Roman" w:hAnsi="Times New Roman"/>
          <w:sz w:val="16"/>
          <w:szCs w:val="16"/>
        </w:rPr>
      </w:r>
    </w:p>
    <w:p>
      <w:pPr>
        <w:pStyle w:val="Normal"/>
        <w:spacing w:lineRule="auto" w:line="240" w:before="0" w:after="0"/>
        <w:ind w:firstLine="708"/>
        <w:jc w:val="both"/>
        <w:rPr>
          <w:rFonts w:ascii="Times New Roman" w:hAnsi="Times New Roman" w:eastAsia="Calibri" w:cs="Times New Roman"/>
          <w:sz w:val="24"/>
          <w:szCs w:val="24"/>
        </w:rPr>
      </w:pPr>
      <w:r>
        <w:rPr>
          <w:rFonts w:eastAsia="Calibri" w:cs="Times New Roman" w:ascii="Times New Roman" w:hAnsi="Times New Roman"/>
          <w:sz w:val="24"/>
          <w:szCs w:val="24"/>
        </w:rPr>
        <w:t>Пропозиції щодо зміни основного тексту Стратегії розглядаються відділом економіки, комунального майна та землі, обговорюються на чергових та позачергових нарадах КУВ і виносяться на розгляд сесії Каховської міської ради один раз на рік (при необхідності - двічі на рік).</w:t>
      </w:r>
    </w:p>
    <w:p>
      <w:pPr>
        <w:pStyle w:val="Normal"/>
        <w:spacing w:lineRule="auto" w:line="240" w:before="0" w:after="0"/>
        <w:jc w:val="both"/>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keepNext/>
        <w:keepLines/>
        <w:numPr>
          <w:ilvl w:val="0"/>
          <w:numId w:val="0"/>
        </w:numPr>
        <w:tabs>
          <w:tab w:val="left" w:pos="567" w:leader="none"/>
        </w:tabs>
        <w:spacing w:lineRule="auto" w:line="240" w:before="0" w:after="0"/>
        <w:outlineLvl w:val="1"/>
        <w:rPr>
          <w:rFonts w:ascii="Times New Roman" w:hAnsi="Times New Roman" w:eastAsia="Times New Roman" w:cs="Times New Roman"/>
          <w:b/>
          <w:b/>
          <w:bCs/>
          <w:sz w:val="24"/>
          <w:szCs w:val="24"/>
        </w:rPr>
      </w:pPr>
      <w:bookmarkStart w:id="155" w:name="_Toc42617126"/>
      <w:bookmarkStart w:id="156" w:name="_Toc84967198"/>
      <w:bookmarkStart w:id="157" w:name="OLE_LINK185"/>
      <w:bookmarkStart w:id="158" w:name="OLE_LINK184"/>
      <w:r>
        <w:rPr>
          <w:rFonts w:eastAsia="Times New Roman" w:cs="Times New Roman" w:ascii="Times New Roman" w:hAnsi="Times New Roman"/>
          <w:b/>
          <w:bCs/>
          <w:sz w:val="24"/>
          <w:szCs w:val="24"/>
        </w:rPr>
        <w:t>Фінансове забезпечення реалізації</w:t>
      </w:r>
      <w:bookmarkEnd w:id="157"/>
      <w:bookmarkEnd w:id="158"/>
      <w:r>
        <w:rPr>
          <w:rFonts w:eastAsia="Times New Roman" w:cs="Times New Roman" w:ascii="Times New Roman" w:hAnsi="Times New Roman"/>
          <w:b/>
          <w:bCs/>
          <w:sz w:val="24"/>
          <w:szCs w:val="24"/>
        </w:rPr>
        <w:t xml:space="preserve"> Стратегії.</w:t>
      </w:r>
      <w:bookmarkEnd w:id="155"/>
      <w:bookmarkEnd w:id="156"/>
      <w:r>
        <w:rPr>
          <w:rFonts w:eastAsia="Times New Roman" w:cs="Times New Roman" w:ascii="Times New Roman" w:hAnsi="Times New Roman"/>
          <w:b/>
          <w:bCs/>
          <w:sz w:val="24"/>
          <w:szCs w:val="24"/>
        </w:rPr>
        <w:t xml:space="preserve"> </w:t>
      </w:r>
    </w:p>
    <w:p>
      <w:pPr>
        <w:pStyle w:val="Normal"/>
        <w:spacing w:lineRule="auto" w:line="240" w:before="0" w:after="0"/>
        <w:jc w:val="both"/>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ind w:firstLine="708"/>
        <w:jc w:val="both"/>
        <w:rPr>
          <w:rFonts w:ascii="Times New Roman" w:hAnsi="Times New Roman" w:eastAsia="Calibri" w:cs="Times New Roman"/>
          <w:sz w:val="24"/>
          <w:szCs w:val="24"/>
        </w:rPr>
      </w:pPr>
      <w:r>
        <w:rPr>
          <w:rFonts w:eastAsia="Calibri" w:cs="Times New Roman" w:ascii="Times New Roman" w:hAnsi="Times New Roman"/>
          <w:sz w:val="24"/>
          <w:szCs w:val="24"/>
        </w:rPr>
        <w:t>В основу Плану реалізації стратегії на І етап – 2022-2024 роки – лягли 80 проєктних ідей та заходів, відібраних на основі пропозицій, що надійшли від посадовців, представників підприємств, установ та організацій Каховської громади під час розробки та обговорення проєкту Стратегії. Орієнтовний фінансовий план містить обсяг витрат місцевого бюджету на реалізацію опрацьованих заходів та проєктів, що становить майже 216 млн. грн. і є цілком співставним з фінансовою спроможністю громади.</w:t>
      </w:r>
    </w:p>
    <w:p>
      <w:pPr>
        <w:pStyle w:val="Normal"/>
        <w:widowControl w:val="false"/>
        <w:spacing w:lineRule="auto" w:line="240" w:before="12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Впровадження проектів можливе шляхом:</w:t>
      </w:r>
    </w:p>
    <w:p>
      <w:pPr>
        <w:pStyle w:val="Normal"/>
        <w:numPr>
          <w:ilvl w:val="0"/>
          <w:numId w:val="10"/>
        </w:numPr>
        <w:spacing w:lineRule="auto" w:line="240" w:before="0" w:after="0"/>
        <w:ind w:left="567" w:hanging="360"/>
        <w:jc w:val="both"/>
        <w:rPr>
          <w:rFonts w:ascii="Times New Roman" w:hAnsi="Times New Roman" w:eastAsia="Calibri" w:cs="Times New Roman"/>
          <w:sz w:val="24"/>
          <w:szCs w:val="24"/>
        </w:rPr>
      </w:pPr>
      <w:r>
        <w:rPr>
          <w:rFonts w:eastAsia="Calibri" w:cs="Times New Roman" w:ascii="Times New Roman" w:hAnsi="Times New Roman"/>
          <w:sz w:val="24"/>
          <w:szCs w:val="24"/>
        </w:rPr>
        <w:t>включення до місцевої цільової програми соціально-економічного розвитку, також - до галузевих цільових програм Херсонської області;</w:t>
      </w:r>
    </w:p>
    <w:p>
      <w:pPr>
        <w:pStyle w:val="Normal"/>
        <w:numPr>
          <w:ilvl w:val="0"/>
          <w:numId w:val="10"/>
        </w:numPr>
        <w:spacing w:lineRule="auto" w:line="240" w:before="0" w:after="0"/>
        <w:ind w:left="567" w:hanging="360"/>
        <w:jc w:val="both"/>
        <w:rPr>
          <w:rFonts w:ascii="Times New Roman" w:hAnsi="Times New Roman" w:eastAsia="Calibri" w:cs="Times New Roman"/>
          <w:sz w:val="24"/>
          <w:szCs w:val="24"/>
        </w:rPr>
      </w:pPr>
      <w:r>
        <w:rPr>
          <w:rFonts w:eastAsia="Calibri" w:cs="Times New Roman" w:ascii="Times New Roman" w:hAnsi="Times New Roman"/>
          <w:sz w:val="24"/>
          <w:szCs w:val="24"/>
        </w:rPr>
        <w:t>фінансування за рахунок цільових субвенцій з Державного бюджету;</w:t>
      </w:r>
    </w:p>
    <w:p>
      <w:pPr>
        <w:pStyle w:val="Normal"/>
        <w:numPr>
          <w:ilvl w:val="0"/>
          <w:numId w:val="10"/>
        </w:numPr>
        <w:spacing w:lineRule="auto" w:line="240" w:before="0" w:after="0"/>
        <w:ind w:left="567" w:hanging="360"/>
        <w:jc w:val="both"/>
        <w:rPr>
          <w:rFonts w:ascii="Times New Roman" w:hAnsi="Times New Roman" w:eastAsia="Calibri" w:cs="Times New Roman"/>
          <w:sz w:val="24"/>
          <w:szCs w:val="24"/>
        </w:rPr>
      </w:pPr>
      <w:r>
        <w:rPr>
          <w:rFonts w:eastAsia="Calibri" w:cs="Times New Roman" w:ascii="Times New Roman" w:hAnsi="Times New Roman"/>
          <w:sz w:val="24"/>
          <w:szCs w:val="24"/>
        </w:rPr>
        <w:t>залучення коштів Державного фонду регіонального розвитку;</w:t>
      </w:r>
    </w:p>
    <w:p>
      <w:pPr>
        <w:pStyle w:val="Normal"/>
        <w:numPr>
          <w:ilvl w:val="0"/>
          <w:numId w:val="10"/>
        </w:numPr>
        <w:spacing w:lineRule="auto" w:line="240" w:before="0" w:after="0"/>
        <w:ind w:left="567" w:hanging="360"/>
        <w:jc w:val="both"/>
        <w:rPr>
          <w:rFonts w:ascii="Times New Roman" w:hAnsi="Times New Roman" w:eastAsia="Calibri" w:cs="Times New Roman"/>
          <w:sz w:val="24"/>
          <w:szCs w:val="24"/>
        </w:rPr>
      </w:pPr>
      <w:r>
        <w:rPr>
          <w:rFonts w:eastAsia="Calibri" w:cs="Times New Roman" w:ascii="Times New Roman" w:hAnsi="Times New Roman"/>
          <w:sz w:val="24"/>
          <w:szCs w:val="24"/>
        </w:rPr>
        <w:t>залучення фінансування від проектів та програм міжнародної технічної допомоги суб‘єктами місцевого розвитку різних організаційно-правових форм;</w:t>
      </w:r>
    </w:p>
    <w:p>
      <w:pPr>
        <w:pStyle w:val="Normal"/>
        <w:numPr>
          <w:ilvl w:val="0"/>
          <w:numId w:val="10"/>
        </w:numPr>
        <w:spacing w:lineRule="auto" w:line="240" w:before="0" w:after="0"/>
        <w:ind w:left="567" w:hanging="360"/>
        <w:jc w:val="both"/>
        <w:rPr>
          <w:rFonts w:ascii="Times New Roman" w:hAnsi="Times New Roman" w:eastAsia="Calibri" w:cs="Times New Roman"/>
          <w:sz w:val="24"/>
          <w:szCs w:val="24"/>
        </w:rPr>
      </w:pPr>
      <w:r>
        <w:rPr>
          <w:rFonts w:eastAsia="Calibri" w:cs="Times New Roman" w:ascii="Times New Roman" w:hAnsi="Times New Roman"/>
          <w:sz w:val="24"/>
          <w:szCs w:val="24"/>
        </w:rPr>
        <w:t>залучення співфінансування від мешканців громади (де це передбачено умовами проекту).</w:t>
      </w:r>
    </w:p>
    <w:p>
      <w:pPr>
        <w:pStyle w:val="Normal"/>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keepNext/>
        <w:keepLines/>
        <w:numPr>
          <w:ilvl w:val="0"/>
          <w:numId w:val="0"/>
        </w:numPr>
        <w:tabs>
          <w:tab w:val="left" w:pos="567" w:leader="none"/>
        </w:tabs>
        <w:spacing w:lineRule="auto" w:line="240" w:before="0" w:after="0"/>
        <w:outlineLvl w:val="1"/>
        <w:rPr>
          <w:rFonts w:ascii="Times New Roman" w:hAnsi="Times New Roman" w:eastAsia="Times New Roman" w:cs="Times New Roman"/>
          <w:b/>
          <w:b/>
          <w:bCs/>
          <w:sz w:val="26"/>
          <w:szCs w:val="26"/>
        </w:rPr>
      </w:pPr>
      <w:bookmarkStart w:id="159" w:name="_Toc501407499"/>
      <w:bookmarkStart w:id="160" w:name="_Toc42617127"/>
      <w:bookmarkStart w:id="161" w:name="_Toc84967199"/>
      <w:bookmarkEnd w:id="159"/>
      <w:bookmarkEnd w:id="160"/>
      <w:bookmarkEnd w:id="161"/>
      <w:r>
        <w:rPr>
          <w:rFonts w:eastAsia="Times New Roman" w:cs="Times New Roman" w:ascii="Times New Roman" w:hAnsi="Times New Roman"/>
          <w:b/>
          <w:bCs/>
          <w:sz w:val="26"/>
          <w:szCs w:val="26"/>
        </w:rPr>
        <w:t>Орієнтовний фінансовий план</w:t>
      </w:r>
    </w:p>
    <w:p>
      <w:pPr>
        <w:pStyle w:val="Normal"/>
        <w:spacing w:lineRule="auto" w:line="240" w:before="0" w:after="0"/>
        <w:jc w:val="both"/>
        <w:rPr>
          <w:rFonts w:ascii="Times New Roman" w:hAnsi="Times New Roman" w:eastAsia="Calibri" w:cs="Times New Roman"/>
          <w:sz w:val="24"/>
          <w:szCs w:val="24"/>
        </w:rPr>
      </w:pPr>
      <w:r>
        <w:rPr>
          <w:rFonts w:eastAsia="Calibri" w:cs="Times New Roman" w:ascii="Times New Roman" w:hAnsi="Times New Roman"/>
          <w:sz w:val="24"/>
          <w:szCs w:val="24"/>
        </w:rPr>
      </w:r>
    </w:p>
    <w:tbl>
      <w:tblPr>
        <w:tblW w:w="10600" w:type="dxa"/>
        <w:jc w:val="left"/>
        <w:tblInd w:w="-465" w:type="dxa"/>
        <w:tblBorders>
          <w:top w:val="single" w:sz="8" w:space="0" w:color="00000A"/>
          <w:left w:val="single" w:sz="8" w:space="0" w:color="00000A"/>
          <w:bottom w:val="single" w:sz="8" w:space="0" w:color="000001"/>
          <w:right w:val="single" w:sz="8" w:space="0" w:color="00000A"/>
          <w:insideH w:val="single" w:sz="8" w:space="0" w:color="000001"/>
          <w:insideV w:val="single" w:sz="8" w:space="0" w:color="00000A"/>
        </w:tblBorders>
        <w:tblCellMar>
          <w:top w:w="0" w:type="dxa"/>
          <w:left w:w="-10" w:type="dxa"/>
          <w:bottom w:w="0" w:type="dxa"/>
          <w:right w:w="108" w:type="dxa"/>
        </w:tblCellMar>
        <w:tblLook w:val="04a0" w:noVBand="1" w:noHBand="0" w:lastColumn="0" w:firstColumn="1" w:lastRow="0" w:firstRow="1"/>
      </w:tblPr>
      <w:tblGrid>
        <w:gridCol w:w="417"/>
        <w:gridCol w:w="4963"/>
        <w:gridCol w:w="3"/>
        <w:gridCol w:w="1131"/>
        <w:gridCol w:w="3"/>
        <w:gridCol w:w="705"/>
        <w:gridCol w:w="5"/>
        <w:gridCol w:w="704"/>
        <w:gridCol w:w="7"/>
        <w:gridCol w:w="708"/>
        <w:gridCol w:w="3"/>
        <w:gridCol w:w="989"/>
        <w:gridCol w:w="3"/>
        <w:gridCol w:w="957"/>
      </w:tblGrid>
      <w:tr>
        <w:trPr>
          <w:trHeight w:val="20" w:hRule="atLeast"/>
        </w:trPr>
        <w:tc>
          <w:tcPr>
            <w:tcW w:w="417" w:type="dxa"/>
            <w:vMerge w:val="restart"/>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10" w:type="dxa"/>
            </w:tcMar>
            <w:vAlign w:val="center"/>
          </w:tcPr>
          <w:p>
            <w:pPr>
              <w:pStyle w:val="Normal"/>
              <w:spacing w:lineRule="auto" w:line="240" w:before="0" w:after="0"/>
              <w:jc w:val="center"/>
              <w:rPr>
                <w:rFonts w:ascii="Times New Roman" w:hAnsi="Times New Roman" w:eastAsia="Times New Roman" w:cs="Times New Roman"/>
                <w:b/>
                <w:b/>
                <w:bCs/>
                <w:color w:val="000000"/>
                <w:lang w:val="ru-RU" w:eastAsia="ru-RU"/>
              </w:rPr>
            </w:pPr>
            <w:r>
              <w:rPr>
                <w:rFonts w:eastAsia="Times New Roman" w:cs="Times New Roman" w:ascii="Times New Roman" w:hAnsi="Times New Roman"/>
                <w:b/>
                <w:bCs/>
                <w:color w:val="000000"/>
                <w:lang w:val="ru-RU" w:eastAsia="ru-RU"/>
              </w:rPr>
            </w:r>
          </w:p>
        </w:tc>
        <w:tc>
          <w:tcPr>
            <w:tcW w:w="4966" w:type="dxa"/>
            <w:gridSpan w:val="2"/>
            <w:vMerge w:val="restart"/>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10" w:type="dxa"/>
            </w:tcMar>
            <w:vAlign w:val="center"/>
          </w:tcPr>
          <w:p>
            <w:pPr>
              <w:pStyle w:val="Normal"/>
              <w:spacing w:lineRule="auto" w:line="240" w:before="0" w:after="0"/>
              <w:jc w:val="center"/>
              <w:rPr>
                <w:rFonts w:ascii="Times New Roman" w:hAnsi="Times New Roman" w:eastAsia="Times New Roman" w:cs="Times New Roman"/>
                <w:b/>
                <w:b/>
                <w:bCs/>
                <w:color w:val="000000"/>
                <w:lang w:eastAsia="ru-RU"/>
              </w:rPr>
            </w:pPr>
            <w:r>
              <w:rPr>
                <w:rFonts w:eastAsia="Calibri" w:cs="Times New Roman" w:ascii="Times New Roman" w:hAnsi="Times New Roman"/>
                <w:b/>
                <w:bCs/>
                <w:color w:val="000000"/>
                <w:lang w:eastAsia="ru-RU"/>
              </w:rPr>
              <w:t>Найменування проекту, заходу</w:t>
            </w:r>
          </w:p>
        </w:tc>
        <w:tc>
          <w:tcPr>
            <w:tcW w:w="1134" w:type="dxa"/>
            <w:gridSpan w:val="2"/>
            <w:vMerge w:val="restart"/>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10" w:type="dxa"/>
            </w:tcMar>
            <w:vAlign w:val="center"/>
          </w:tcPr>
          <w:p>
            <w:pPr>
              <w:pStyle w:val="Normal"/>
              <w:spacing w:lineRule="auto" w:line="240" w:before="0" w:after="0"/>
              <w:ind w:left="-114" w:right="-114" w:hanging="0"/>
              <w:jc w:val="center"/>
              <w:rPr>
                <w:rFonts w:ascii="Times New Roman" w:hAnsi="Times New Roman" w:eastAsia="Times New Roman" w:cs="Times New Roman"/>
                <w:b/>
                <w:b/>
                <w:bCs/>
                <w:color w:val="000000"/>
                <w:lang w:val="ru-RU" w:eastAsia="ru-RU"/>
              </w:rPr>
            </w:pPr>
            <w:r>
              <w:rPr>
                <w:rFonts w:eastAsia="Calibri" w:cs="Times New Roman" w:ascii="Times New Roman" w:hAnsi="Times New Roman"/>
                <w:b/>
                <w:bCs/>
                <w:color w:val="000000"/>
                <w:lang w:eastAsia="ru-RU"/>
              </w:rPr>
              <w:t>Період реалізації</w:t>
            </w:r>
          </w:p>
        </w:tc>
        <w:tc>
          <w:tcPr>
            <w:tcW w:w="4081" w:type="dxa"/>
            <w:gridSpan w:val="9"/>
            <w:tcBorders>
              <w:top w:val="single" w:sz="8" w:space="0" w:color="00000A"/>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10" w:type="dxa"/>
            </w:tcMar>
            <w:vAlign w:val="center"/>
          </w:tcPr>
          <w:p>
            <w:pPr>
              <w:pStyle w:val="Normal"/>
              <w:spacing w:lineRule="auto" w:line="240" w:before="0" w:after="0"/>
              <w:jc w:val="center"/>
              <w:rPr>
                <w:rFonts w:ascii="Times New Roman" w:hAnsi="Times New Roman" w:eastAsia="Times New Roman" w:cs="Times New Roman"/>
                <w:b/>
                <w:b/>
                <w:bCs/>
                <w:color w:val="000000"/>
                <w:lang w:val="ru-RU" w:eastAsia="ru-RU"/>
              </w:rPr>
            </w:pPr>
            <w:r>
              <w:rPr>
                <w:rFonts w:eastAsia="Calibri" w:cs="Times New Roman" w:ascii="Times New Roman" w:hAnsi="Times New Roman"/>
                <w:b/>
                <w:bCs/>
                <w:color w:val="000000"/>
                <w:lang w:eastAsia="ru-RU"/>
              </w:rPr>
              <w:t>Орієнтовний обсяг фінансування з місцевого бюджету,</w:t>
            </w:r>
          </w:p>
        </w:tc>
      </w:tr>
      <w:tr>
        <w:trPr>
          <w:trHeight w:val="20" w:hRule="atLeast"/>
        </w:trPr>
        <w:tc>
          <w:tcPr>
            <w:tcW w:w="417" w:type="dxa"/>
            <w:vMerge w:val="continue"/>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10" w:type="dxa"/>
            </w:tcMar>
            <w:vAlign w:val="cente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b/>
                <w:b/>
                <w:bCs/>
                <w:color w:val="000000"/>
                <w:lang w:val="ru-RU" w:eastAsia="ru-RU"/>
              </w:rPr>
            </w:pPr>
            <w:r>
              <w:rPr>
                <w:rFonts w:eastAsia="Times New Roman" w:cs="Times New Roman" w:ascii="Times New Roman" w:hAnsi="Times New Roman"/>
                <w:b/>
                <w:bCs/>
                <w:color w:val="000000"/>
                <w:lang w:val="ru-RU" w:eastAsia="ru-RU"/>
              </w:rPr>
            </w:r>
          </w:p>
        </w:tc>
        <w:tc>
          <w:tcPr>
            <w:tcW w:w="4966" w:type="dxa"/>
            <w:gridSpan w:val="2"/>
            <w:vMerge w:val="continue"/>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10" w:type="dxa"/>
            </w:tcMar>
            <w:vAlign w:val="center"/>
          </w:tcPr>
          <w:p>
            <w:pPr>
              <w:pStyle w:val="Normal"/>
              <w:spacing w:lineRule="auto" w:line="240" w:before="0" w:after="0"/>
              <w:rPr>
                <w:rFonts w:ascii="Times New Roman" w:hAnsi="Times New Roman" w:eastAsia="Times New Roman" w:cs="Times New Roman"/>
                <w:b/>
                <w:b/>
                <w:bCs/>
                <w:color w:val="000000"/>
                <w:lang w:eastAsia="ru-RU"/>
              </w:rPr>
            </w:pPr>
            <w:r>
              <w:rPr>
                <w:rFonts w:eastAsia="Times New Roman" w:cs="Times New Roman" w:ascii="Times New Roman" w:hAnsi="Times New Roman"/>
                <w:b/>
                <w:bCs/>
                <w:color w:val="000000"/>
                <w:lang w:eastAsia="ru-RU"/>
              </w:rPr>
            </w:r>
          </w:p>
        </w:tc>
        <w:tc>
          <w:tcPr>
            <w:tcW w:w="1134" w:type="dxa"/>
            <w:gridSpan w:val="2"/>
            <w:vMerge w:val="continue"/>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10" w:type="dxa"/>
            </w:tcMar>
            <w:vAlign w:val="center"/>
          </w:tcPr>
          <w:p>
            <w:pPr>
              <w:pStyle w:val="Normal"/>
              <w:spacing w:lineRule="auto" w:line="240" w:before="0" w:after="0"/>
              <w:rPr>
                <w:rFonts w:ascii="Times New Roman" w:hAnsi="Times New Roman" w:eastAsia="Times New Roman" w:cs="Times New Roman"/>
                <w:b/>
                <w:b/>
                <w:bCs/>
                <w:color w:val="000000"/>
                <w:lang w:val="ru-RU" w:eastAsia="ru-RU"/>
              </w:rPr>
            </w:pPr>
            <w:r>
              <w:rPr>
                <w:rFonts w:eastAsia="Times New Roman" w:cs="Times New Roman" w:ascii="Times New Roman" w:hAnsi="Times New Roman"/>
                <w:b/>
                <w:bCs/>
                <w:color w:val="000000"/>
                <w:lang w:val="ru-RU" w:eastAsia="ru-RU"/>
              </w:rPr>
            </w:r>
          </w:p>
        </w:tc>
        <w:tc>
          <w:tcPr>
            <w:tcW w:w="4081" w:type="dxa"/>
            <w:gridSpan w:val="9"/>
            <w:tcBorders>
              <w:top w:val="single" w:sz="8" w:space="0" w:color="00000A"/>
              <w:left w:val="single" w:sz="8" w:space="0" w:color="000001"/>
              <w:bottom w:val="single" w:sz="8" w:space="0" w:color="00000A"/>
              <w:right w:val="single" w:sz="8" w:space="0" w:color="000001"/>
              <w:insideH w:val="single" w:sz="8" w:space="0" w:color="00000A"/>
              <w:insideV w:val="single" w:sz="8" w:space="0" w:color="000001"/>
            </w:tcBorders>
            <w:shd w:color="auto" w:fill="auto" w:val="clear"/>
            <w:tcMar>
              <w:left w:w="-10" w:type="dxa"/>
            </w:tcMar>
            <w:vAlign w:val="center"/>
          </w:tcPr>
          <w:p>
            <w:pPr>
              <w:pStyle w:val="Normal"/>
              <w:spacing w:lineRule="auto" w:line="240" w:before="0" w:after="0"/>
              <w:jc w:val="center"/>
              <w:rPr>
                <w:rFonts w:ascii="Calibri" w:hAnsi="Calibri" w:eastAsia="Calibri" w:cs="Calibri"/>
                <w:color w:val="00000A"/>
              </w:rPr>
            </w:pPr>
            <w:r>
              <w:rPr>
                <w:rFonts w:eastAsia="Times New Roman" w:cs="Times New Roman" w:ascii="Times New Roman" w:hAnsi="Times New Roman"/>
                <w:b/>
                <w:bCs/>
                <w:color w:val="000000"/>
                <w:lang w:val="ru-RU" w:eastAsia="ru-RU"/>
              </w:rPr>
              <w:t>тис. грн.</w:t>
            </w:r>
          </w:p>
        </w:tc>
      </w:tr>
      <w:tr>
        <w:trPr>
          <w:trHeight w:val="728" w:hRule="atLeast"/>
        </w:trPr>
        <w:tc>
          <w:tcPr>
            <w:tcW w:w="417" w:type="dxa"/>
            <w:vMerge w:val="continue"/>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10" w:type="dxa"/>
            </w:tcMar>
            <w:vAlign w:val="cente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b/>
                <w:b/>
                <w:bCs/>
                <w:color w:val="000000"/>
                <w:lang w:val="ru-RU" w:eastAsia="ru-RU"/>
              </w:rPr>
            </w:pPr>
            <w:r>
              <w:rPr>
                <w:rFonts w:eastAsia="Times New Roman" w:cs="Times New Roman" w:ascii="Times New Roman" w:hAnsi="Times New Roman"/>
                <w:b/>
                <w:bCs/>
                <w:color w:val="000000"/>
                <w:lang w:val="ru-RU" w:eastAsia="ru-RU"/>
              </w:rPr>
            </w:r>
          </w:p>
        </w:tc>
        <w:tc>
          <w:tcPr>
            <w:tcW w:w="4966" w:type="dxa"/>
            <w:gridSpan w:val="2"/>
            <w:vMerge w:val="continue"/>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10" w:type="dxa"/>
            </w:tcMar>
            <w:vAlign w:val="center"/>
          </w:tcPr>
          <w:p>
            <w:pPr>
              <w:pStyle w:val="Normal"/>
              <w:spacing w:lineRule="auto" w:line="240" w:before="0" w:after="0"/>
              <w:rPr>
                <w:rFonts w:ascii="Times New Roman" w:hAnsi="Times New Roman" w:eastAsia="Times New Roman" w:cs="Times New Roman"/>
                <w:b/>
                <w:b/>
                <w:bCs/>
                <w:color w:val="000000"/>
                <w:lang w:eastAsia="ru-RU"/>
              </w:rPr>
            </w:pPr>
            <w:r>
              <w:rPr>
                <w:rFonts w:eastAsia="Times New Roman" w:cs="Times New Roman" w:ascii="Times New Roman" w:hAnsi="Times New Roman"/>
                <w:b/>
                <w:bCs/>
                <w:color w:val="000000"/>
                <w:lang w:eastAsia="ru-RU"/>
              </w:rPr>
            </w:r>
          </w:p>
        </w:tc>
        <w:tc>
          <w:tcPr>
            <w:tcW w:w="1134" w:type="dxa"/>
            <w:gridSpan w:val="2"/>
            <w:vMerge w:val="continue"/>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10" w:type="dxa"/>
            </w:tcMar>
            <w:vAlign w:val="center"/>
          </w:tcPr>
          <w:p>
            <w:pPr>
              <w:pStyle w:val="Normal"/>
              <w:spacing w:lineRule="auto" w:line="240" w:before="0" w:after="0"/>
              <w:rPr>
                <w:rFonts w:ascii="Times New Roman" w:hAnsi="Times New Roman" w:eastAsia="Times New Roman" w:cs="Times New Roman"/>
                <w:b/>
                <w:b/>
                <w:bCs/>
                <w:color w:val="000000"/>
                <w:lang w:val="ru-RU" w:eastAsia="ru-RU"/>
              </w:rPr>
            </w:pPr>
            <w:r>
              <w:rPr>
                <w:rFonts w:eastAsia="Times New Roman" w:cs="Times New Roman" w:ascii="Times New Roman" w:hAnsi="Times New Roman"/>
                <w:b/>
                <w:bCs/>
                <w:color w:val="000000"/>
                <w:lang w:val="ru-RU" w:eastAsia="ru-RU"/>
              </w:rPr>
            </w:r>
          </w:p>
        </w:tc>
        <w:tc>
          <w:tcPr>
            <w:tcW w:w="71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vAlign w:val="center"/>
          </w:tcPr>
          <w:p>
            <w:pPr>
              <w:pStyle w:val="Normal"/>
              <w:spacing w:lineRule="auto" w:line="240" w:before="0" w:after="0"/>
              <w:jc w:val="center"/>
              <w:rPr>
                <w:rFonts w:ascii="Times New Roman" w:hAnsi="Times New Roman" w:eastAsia="Times New Roman" w:cs="Times New Roman"/>
                <w:color w:val="000000"/>
                <w:lang w:val="ru-RU" w:eastAsia="ru-RU"/>
              </w:rPr>
            </w:pPr>
            <w:r>
              <w:rPr>
                <w:rFonts w:eastAsia="Calibri" w:cs="Times New Roman" w:ascii="Times New Roman" w:hAnsi="Times New Roman"/>
                <w:color w:val="000000"/>
                <w:lang w:eastAsia="ru-RU"/>
              </w:rPr>
              <w:t>2022</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vAlign w:val="center"/>
          </w:tcPr>
          <w:p>
            <w:pPr>
              <w:pStyle w:val="Normal"/>
              <w:spacing w:lineRule="auto" w:line="240" w:before="0" w:after="0"/>
              <w:jc w:val="center"/>
              <w:rPr>
                <w:rFonts w:ascii="Times New Roman" w:hAnsi="Times New Roman" w:eastAsia="Times New Roman" w:cs="Times New Roman"/>
                <w:color w:val="000000"/>
                <w:lang w:val="ru-RU" w:eastAsia="ru-RU"/>
              </w:rPr>
            </w:pPr>
            <w:r>
              <w:rPr>
                <w:rFonts w:eastAsia="Calibri" w:cs="Times New Roman" w:ascii="Times New Roman" w:hAnsi="Times New Roman"/>
                <w:color w:val="000000"/>
                <w:lang w:eastAsia="ru-RU"/>
              </w:rPr>
              <w:t>2023</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vAlign w:val="center"/>
          </w:tcPr>
          <w:p>
            <w:pPr>
              <w:pStyle w:val="Normal"/>
              <w:spacing w:lineRule="auto" w:line="240" w:before="0" w:after="0"/>
              <w:jc w:val="center"/>
              <w:rPr>
                <w:rFonts w:ascii="Times New Roman" w:hAnsi="Times New Roman" w:eastAsia="Times New Roman" w:cs="Times New Roman"/>
                <w:color w:val="000000"/>
                <w:lang w:val="ru-RU" w:eastAsia="ru-RU"/>
              </w:rPr>
            </w:pPr>
            <w:r>
              <w:rPr>
                <w:rFonts w:eastAsia="Calibri" w:cs="Times New Roman" w:ascii="Times New Roman" w:hAnsi="Times New Roman"/>
                <w:color w:val="000000"/>
                <w:lang w:eastAsia="ru-RU"/>
              </w:rPr>
              <w:t>2024</w:t>
            </w:r>
          </w:p>
        </w:tc>
        <w:tc>
          <w:tcPr>
            <w:tcW w:w="99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vAlign w:val="center"/>
          </w:tcPr>
          <w:p>
            <w:pPr>
              <w:pStyle w:val="Normal"/>
              <w:spacing w:lineRule="auto" w:line="240" w:before="0" w:after="0"/>
              <w:jc w:val="center"/>
              <w:rPr>
                <w:rFonts w:ascii="Calibri" w:hAnsi="Calibri" w:eastAsia="Calibri" w:cs="Calibri"/>
                <w:color w:val="00000A"/>
              </w:rPr>
            </w:pPr>
            <w:r>
              <w:rPr>
                <w:rFonts w:eastAsia="Calibri" w:cs="Times New Roman" w:ascii="Times New Roman" w:hAnsi="Times New Roman"/>
                <w:color w:val="000000"/>
                <w:sz w:val="18"/>
                <w:szCs w:val="18"/>
                <w:lang w:eastAsia="ru-RU"/>
              </w:rPr>
              <w:t>Разом</w:t>
            </w:r>
            <w:r>
              <w:rPr>
                <w:rFonts w:eastAsia="Times New Roman" w:cs="Times New Roman" w:ascii="Times New Roman" w:hAnsi="Times New Roman"/>
                <w:color w:val="000000"/>
                <w:sz w:val="18"/>
                <w:szCs w:val="18"/>
                <w:lang w:eastAsia="ru-RU"/>
              </w:rPr>
              <w:t xml:space="preserve"> з місцевого бюджету</w:t>
            </w:r>
          </w:p>
        </w:tc>
        <w:tc>
          <w:tcPr>
            <w:tcW w:w="9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vAlign w:val="center"/>
          </w:tcPr>
          <w:p>
            <w:pPr>
              <w:pStyle w:val="Normal"/>
              <w:spacing w:lineRule="auto" w:line="240" w:before="0" w:after="0"/>
              <w:jc w:val="center"/>
              <w:rPr>
                <w:rFonts w:ascii="Calibri" w:hAnsi="Calibri" w:eastAsia="Calibri" w:cs="Calibri"/>
                <w:color w:val="00000A"/>
              </w:rPr>
            </w:pPr>
            <w:r>
              <w:rPr>
                <w:rFonts w:eastAsia="Times New Roman" w:cs="Times New Roman" w:ascii="Times New Roman" w:hAnsi="Times New Roman"/>
                <w:color w:val="000000"/>
                <w:sz w:val="18"/>
                <w:szCs w:val="18"/>
                <w:lang w:eastAsia="ru-RU"/>
              </w:rPr>
              <w:t>Інші джерела фінансування</w:t>
            </w:r>
          </w:p>
        </w:tc>
      </w:tr>
      <w:tr>
        <w:trPr>
          <w:trHeight w:val="20" w:hRule="atLeast"/>
        </w:trPr>
        <w:tc>
          <w:tcPr>
            <w:tcW w:w="41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496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Normal"/>
              <w:spacing w:lineRule="auto" w:line="240" w:before="0" w:after="0"/>
              <w:contextualSpacing/>
              <w:rPr>
                <w:rFonts w:ascii="Times New Roman" w:hAnsi="Times New Roman" w:eastAsia="Calibri" w:cs="Times New Roman"/>
                <w:color w:val="00000A"/>
              </w:rPr>
            </w:pPr>
            <w:r>
              <w:rPr>
                <w:rFonts w:eastAsia="Calibri" w:cs="Times New Roman" w:ascii="Times New Roman" w:hAnsi="Times New Roman"/>
                <w:color w:val="00000A"/>
              </w:rPr>
              <w:t>Розробка та реалізація Програми підтримки малого та середнього підприємництва 2022-2024 роки (Дерегуляція бізнесу( скасування бар’єрів для малого та середнього бізнесу); Інформаційна підтримка бізнесу)</w:t>
            </w:r>
          </w:p>
        </w:tc>
        <w:tc>
          <w:tcPr>
            <w:tcW w:w="11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2022-2024</w:t>
            </w:r>
          </w:p>
        </w:tc>
        <w:tc>
          <w:tcPr>
            <w:tcW w:w="71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50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50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50</w:t>
            </w:r>
          </w:p>
        </w:tc>
        <w:tc>
          <w:tcPr>
            <w:tcW w:w="99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center"/>
              <w:rPr>
                <w:rFonts w:ascii="Times New Roman" w:hAnsi="Times New Roman" w:eastAsia="Calibri" w:cs="Calibri"/>
                <w:color w:val="00000A"/>
              </w:rPr>
            </w:pPr>
            <w:r>
              <w:rPr>
                <w:rFonts w:eastAsia="Calibri" w:cs="Calibri" w:ascii="Times New Roman" w:hAnsi="Times New Roman"/>
                <w:color w:val="00000A"/>
              </w:rPr>
              <w:t>150</w:t>
            </w:r>
          </w:p>
        </w:tc>
        <w:tc>
          <w:tcPr>
            <w:tcW w:w="9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center"/>
              <w:rPr>
                <w:rFonts w:ascii="Calibri" w:hAnsi="Calibri" w:eastAsia="Times New Roman" w:cs="Times New Roman"/>
                <w:color w:val="000000"/>
                <w:lang w:val="ru-RU" w:eastAsia="ru-RU"/>
              </w:rPr>
            </w:pPr>
            <w:r>
              <w:rPr>
                <w:rFonts w:eastAsia="Times New Roman" w:cs="Times New Roman" w:ascii="Calibri" w:hAnsi="Calibri"/>
                <w:color w:val="000000"/>
                <w:lang w:val="ru-RU" w:eastAsia="ru-RU"/>
              </w:rPr>
            </w:r>
          </w:p>
        </w:tc>
      </w:tr>
      <w:tr>
        <w:trPr>
          <w:trHeight w:val="20" w:hRule="atLeast"/>
        </w:trPr>
        <w:tc>
          <w:tcPr>
            <w:tcW w:w="41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Calibri" w:hAnsi="Calibri" w:eastAsia="Calibri" w:cs="Calibri"/>
                <w:color w:val="00000A"/>
              </w:rPr>
            </w:pPr>
            <w:r>
              <w:rPr>
                <w:rFonts w:eastAsia="Calibri" w:cs="Calibri" w:ascii="Calibri" w:hAnsi="Calibri"/>
                <w:color w:val="00000A"/>
              </w:rPr>
            </w:r>
          </w:p>
        </w:tc>
        <w:tc>
          <w:tcPr>
            <w:tcW w:w="496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Normal"/>
              <w:tabs>
                <w:tab w:val="left" w:pos="317" w:leader="none"/>
              </w:tabs>
              <w:spacing w:lineRule="auto" w:line="240" w:before="0" w:after="0"/>
              <w:contextualSpacing/>
              <w:rPr>
                <w:rFonts w:ascii="Times New Roman" w:hAnsi="Times New Roman" w:eastAsia="Calibri" w:cs="Times New Roman"/>
                <w:color w:val="00000A"/>
              </w:rPr>
            </w:pPr>
            <w:r>
              <w:rPr>
                <w:rFonts w:eastAsia="Calibri" w:cs="Times New Roman" w:ascii="Times New Roman" w:hAnsi="Times New Roman"/>
                <w:color w:val="00000A"/>
              </w:rPr>
              <w:t>О</w:t>
            </w:r>
            <w:r>
              <w:rPr>
                <w:rFonts w:eastAsia="Arial" w:cs="Times New Roman" w:ascii="Times New Roman" w:hAnsi="Times New Roman"/>
                <w:color w:val="00000A"/>
                <w:highlight w:val="white"/>
              </w:rPr>
              <w:t>хоплення системою безпаперового документообігу всіх суб’єктів громади з використанням електронного цифрового підпису та інших систем ідентифікації;</w:t>
            </w:r>
          </w:p>
        </w:tc>
        <w:tc>
          <w:tcPr>
            <w:tcW w:w="11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Calibri" w:hAnsi="Calibri" w:eastAsia="Calibri" w:cs="Calibri"/>
                <w:color w:val="00000A"/>
              </w:rPr>
            </w:pPr>
            <w:r>
              <w:rPr>
                <w:rFonts w:eastAsia="Times New Roman" w:cs="Times New Roman" w:ascii="Times New Roman" w:hAnsi="Times New Roman"/>
                <w:color w:val="000000"/>
                <w:lang w:val="ru-RU" w:eastAsia="ru-RU"/>
              </w:rPr>
              <w:t>2022-2024</w:t>
            </w:r>
          </w:p>
        </w:tc>
        <w:tc>
          <w:tcPr>
            <w:tcW w:w="71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center"/>
              <w:rPr>
                <w:rFonts w:ascii="Times New Roman" w:hAnsi="Times New Roman" w:eastAsia="Calibri" w:cs="Calibri"/>
                <w:color w:val="00000A"/>
              </w:rPr>
            </w:pPr>
            <w:r>
              <w:rPr>
                <w:rFonts w:eastAsia="Times New Roman" w:cs="Times New Roman" w:ascii="Times New Roman" w:hAnsi="Times New Roman"/>
                <w:color w:val="000000"/>
                <w:lang w:val="ru-RU" w:eastAsia="ru-RU"/>
              </w:rPr>
              <w:t>67,2</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center"/>
              <w:rPr>
                <w:rFonts w:ascii="Times New Roman" w:hAnsi="Times New Roman" w:eastAsia="Calibri" w:cs="Calibri"/>
                <w:color w:val="00000A"/>
              </w:rPr>
            </w:pPr>
            <w:r>
              <w:rPr>
                <w:rFonts w:eastAsia="Times New Roman" w:cs="Times New Roman" w:ascii="Times New Roman" w:hAnsi="Times New Roman"/>
                <w:color w:val="000000"/>
                <w:lang w:val="ru-RU" w:eastAsia="ru-RU"/>
              </w:rPr>
              <w:t>68,0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center"/>
              <w:rPr>
                <w:rFonts w:ascii="Times New Roman" w:hAnsi="Times New Roman" w:eastAsia="Calibri" w:cs="Calibri"/>
                <w:color w:val="00000A"/>
              </w:rPr>
            </w:pPr>
            <w:r>
              <w:rPr>
                <w:rFonts w:eastAsia="Times New Roman" w:cs="Times New Roman" w:ascii="Times New Roman" w:hAnsi="Times New Roman"/>
                <w:color w:val="000000"/>
                <w:lang w:val="ru-RU" w:eastAsia="ru-RU"/>
              </w:rPr>
              <w:t>69,0</w:t>
            </w:r>
          </w:p>
        </w:tc>
        <w:tc>
          <w:tcPr>
            <w:tcW w:w="99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center"/>
              <w:rPr>
                <w:rFonts w:ascii="Times New Roman" w:hAnsi="Times New Roman" w:eastAsia="Calibri" w:cs="Calibri"/>
                <w:color w:val="00000A"/>
              </w:rPr>
            </w:pPr>
            <w:r>
              <w:rPr>
                <w:rFonts w:eastAsia="Calibri" w:cs="Calibri" w:ascii="Times New Roman" w:hAnsi="Times New Roman"/>
                <w:color w:val="00000A"/>
              </w:rPr>
              <w:t>204,2</w:t>
            </w:r>
          </w:p>
        </w:tc>
        <w:tc>
          <w:tcPr>
            <w:tcW w:w="9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center"/>
              <w:rPr>
                <w:rFonts w:ascii="Calibri" w:hAnsi="Calibri" w:eastAsia="Times New Roman" w:cs="Times New Roman"/>
                <w:color w:val="000000"/>
                <w:lang w:val="ru-RU" w:eastAsia="ru-RU"/>
              </w:rPr>
            </w:pPr>
            <w:r>
              <w:rPr>
                <w:rFonts w:eastAsia="Times New Roman" w:cs="Times New Roman" w:ascii="Calibri" w:hAnsi="Calibri"/>
                <w:color w:val="000000"/>
                <w:lang w:val="ru-RU" w:eastAsia="ru-RU"/>
              </w:rPr>
            </w:r>
          </w:p>
        </w:tc>
      </w:tr>
      <w:tr>
        <w:trPr>
          <w:trHeight w:val="20" w:hRule="atLeast"/>
        </w:trPr>
        <w:tc>
          <w:tcPr>
            <w:tcW w:w="41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496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Normal"/>
              <w:tabs>
                <w:tab w:val="left" w:pos="317" w:leader="none"/>
              </w:tabs>
              <w:spacing w:lineRule="auto" w:line="240" w:before="0" w:after="0"/>
              <w:contextualSpacing/>
              <w:rPr>
                <w:rFonts w:ascii="Times New Roman" w:hAnsi="Times New Roman" w:eastAsia="Calibri" w:cs="Times New Roman"/>
                <w:color w:val="00000A"/>
              </w:rPr>
            </w:pPr>
            <w:r>
              <w:rPr>
                <w:rFonts w:eastAsia="Calibri" w:cs="Times New Roman" w:ascii="Times New Roman" w:hAnsi="Times New Roman"/>
                <w:color w:val="00000A"/>
              </w:rPr>
              <w:t>Реконструкція та облаштування Центру надання адміністративних послуг</w:t>
            </w:r>
          </w:p>
        </w:tc>
        <w:tc>
          <w:tcPr>
            <w:tcW w:w="11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2022-2023</w:t>
            </w:r>
          </w:p>
        </w:tc>
        <w:tc>
          <w:tcPr>
            <w:tcW w:w="71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center"/>
              <w:rPr>
                <w:rFonts w:ascii="Times New Roman" w:hAnsi="Times New Roman" w:eastAsia="Calibri" w:cs="Calibri"/>
                <w:color w:val="00000A"/>
              </w:rPr>
            </w:pPr>
            <w:r>
              <w:rPr>
                <w:rFonts w:eastAsia="Times New Roman" w:cs="Times New Roman" w:ascii="Times New Roman" w:hAnsi="Times New Roman"/>
                <w:color w:val="000000"/>
                <w:lang w:val="ru-RU" w:eastAsia="ru-RU"/>
              </w:rPr>
              <w:t>795,0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0</w:t>
            </w:r>
          </w:p>
        </w:tc>
        <w:tc>
          <w:tcPr>
            <w:tcW w:w="99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center"/>
              <w:rPr>
                <w:rFonts w:ascii="Times New Roman" w:hAnsi="Times New Roman" w:eastAsia="Calibri" w:cs="Calibri"/>
                <w:color w:val="00000A"/>
              </w:rPr>
            </w:pPr>
            <w:r>
              <w:rPr>
                <w:rFonts w:eastAsia="Calibri" w:cs="Calibri" w:ascii="Times New Roman" w:hAnsi="Times New Roman"/>
                <w:color w:val="00000A"/>
              </w:rPr>
              <w:t>795</w:t>
            </w:r>
          </w:p>
        </w:tc>
        <w:tc>
          <w:tcPr>
            <w:tcW w:w="9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center"/>
              <w:rPr>
                <w:rFonts w:ascii="Times New Roman" w:hAnsi="Times New Roman" w:eastAsia="Calibri" w:cs="Calibri"/>
                <w:color w:val="00000A"/>
              </w:rPr>
            </w:pPr>
            <w:r>
              <w:rPr>
                <w:rFonts w:eastAsia="Times New Roman" w:cs="Times New Roman" w:ascii="Times New Roman" w:hAnsi="Times New Roman"/>
                <w:color w:val="000000"/>
                <w:lang w:val="ru-RU" w:eastAsia="ru-RU"/>
              </w:rPr>
              <w:t>1855</w:t>
            </w:r>
          </w:p>
        </w:tc>
      </w:tr>
      <w:tr>
        <w:trPr>
          <w:trHeight w:val="20" w:hRule="atLeast"/>
        </w:trPr>
        <w:tc>
          <w:tcPr>
            <w:tcW w:w="41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496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Normal"/>
              <w:spacing w:lineRule="auto" w:line="240" w:before="0" w:after="0"/>
              <w:rPr>
                <w:rFonts w:ascii="Times New Roman" w:hAnsi="Times New Roman" w:eastAsia="Times New Roman" w:cs="Times New Roman"/>
                <w:color w:val="000000"/>
                <w:lang w:eastAsia="ru-RU"/>
              </w:rPr>
            </w:pPr>
            <w:r>
              <w:rPr>
                <w:rFonts w:eastAsia="Calibri" w:cs="Times New Roman" w:ascii="Times New Roman" w:hAnsi="Times New Roman"/>
                <w:color w:val="00000A"/>
              </w:rPr>
              <w:t>Розширення та підвищення якості та доступності публічних послуг для громадян та бізнесу, спрощення процедур і скорочення адміністративних витрат</w:t>
            </w:r>
          </w:p>
        </w:tc>
        <w:tc>
          <w:tcPr>
            <w:tcW w:w="11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2022-2023</w:t>
            </w:r>
          </w:p>
        </w:tc>
        <w:tc>
          <w:tcPr>
            <w:tcW w:w="71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35,0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35,0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0</w:t>
            </w:r>
          </w:p>
        </w:tc>
        <w:tc>
          <w:tcPr>
            <w:tcW w:w="99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center"/>
              <w:rPr>
                <w:rFonts w:ascii="Times New Roman" w:hAnsi="Times New Roman" w:eastAsia="Calibri" w:cs="Calibri"/>
                <w:color w:val="00000A"/>
              </w:rPr>
            </w:pPr>
            <w:r>
              <w:rPr>
                <w:rFonts w:eastAsia="Calibri" w:cs="Calibri" w:ascii="Times New Roman" w:hAnsi="Times New Roman"/>
                <w:color w:val="00000A"/>
              </w:rPr>
              <w:t>70</w:t>
            </w:r>
          </w:p>
        </w:tc>
        <w:tc>
          <w:tcPr>
            <w:tcW w:w="9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center"/>
              <w:rPr>
                <w:rFonts w:ascii="Calibri" w:hAnsi="Calibri" w:eastAsia="Times New Roman" w:cs="Times New Roman"/>
                <w:color w:val="000000"/>
                <w:lang w:val="ru-RU" w:eastAsia="ru-RU"/>
              </w:rPr>
            </w:pPr>
            <w:r>
              <w:rPr>
                <w:rFonts w:eastAsia="Times New Roman" w:cs="Times New Roman" w:ascii="Calibri" w:hAnsi="Calibri"/>
                <w:color w:val="000000"/>
                <w:lang w:val="ru-RU" w:eastAsia="ru-RU"/>
              </w:rPr>
            </w:r>
          </w:p>
        </w:tc>
      </w:tr>
      <w:tr>
        <w:trPr>
          <w:trHeight w:val="20" w:hRule="atLeast"/>
        </w:trPr>
        <w:tc>
          <w:tcPr>
            <w:tcW w:w="41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496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Розроблення Комплексного плану просторового розвитку території  Каховської міської територіальної громади:</w:t>
            </w:r>
          </w:p>
          <w:p>
            <w:pPr>
              <w:pStyle w:val="Normal"/>
              <w:spacing w:lineRule="auto" w:line="240" w:before="0" w:after="0"/>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 Актуалізація картографо-геодезичної основи.</w:t>
            </w:r>
          </w:p>
          <w:p>
            <w:pPr>
              <w:pStyle w:val="Normal"/>
              <w:spacing w:lineRule="auto" w:line="240" w:before="0" w:after="0"/>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 Перенесення даних щодо містобудівної документації з паперових носіїв у векторну цифрову форму, в тому числі відповідно до вимог містобудівного кадастру;</w:t>
            </w:r>
          </w:p>
          <w:p>
            <w:pPr>
              <w:pStyle w:val="Normal"/>
              <w:spacing w:lineRule="auto" w:line="240" w:before="0" w:after="0"/>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 Приведення містобудівної документації у відповідність з вимогами законодавства в частині формату зберігання та оброблення даних</w:t>
            </w:r>
          </w:p>
        </w:tc>
        <w:tc>
          <w:tcPr>
            <w:tcW w:w="11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2022-2024</w:t>
            </w:r>
          </w:p>
        </w:tc>
        <w:tc>
          <w:tcPr>
            <w:tcW w:w="71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600,0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1000,0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2500,0</w:t>
            </w:r>
          </w:p>
        </w:tc>
        <w:tc>
          <w:tcPr>
            <w:tcW w:w="99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center"/>
              <w:rPr>
                <w:rFonts w:ascii="Times New Roman" w:hAnsi="Times New Roman" w:eastAsia="Calibri" w:cs="Calibri"/>
                <w:color w:val="00000A"/>
              </w:rPr>
            </w:pPr>
            <w:r>
              <w:rPr>
                <w:rFonts w:eastAsia="Calibri" w:cs="Calibri" w:ascii="Times New Roman" w:hAnsi="Times New Roman"/>
                <w:color w:val="00000A"/>
              </w:rPr>
              <w:t>4100</w:t>
            </w:r>
          </w:p>
        </w:tc>
        <w:tc>
          <w:tcPr>
            <w:tcW w:w="9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center"/>
              <w:rPr>
                <w:rFonts w:ascii="Calibri" w:hAnsi="Calibri" w:eastAsia="Times New Roman" w:cs="Times New Roman"/>
                <w:color w:val="000000"/>
                <w:lang w:val="ru-RU" w:eastAsia="ru-RU"/>
              </w:rPr>
            </w:pPr>
            <w:r>
              <w:rPr>
                <w:rFonts w:eastAsia="Times New Roman" w:cs="Times New Roman" w:ascii="Calibri" w:hAnsi="Calibri"/>
                <w:color w:val="000000"/>
                <w:lang w:val="ru-RU" w:eastAsia="ru-RU"/>
              </w:rPr>
            </w:r>
          </w:p>
        </w:tc>
      </w:tr>
      <w:tr>
        <w:trPr>
          <w:trHeight w:val="20" w:hRule="atLeast"/>
        </w:trPr>
        <w:tc>
          <w:tcPr>
            <w:tcW w:w="41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496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Normal"/>
              <w:spacing w:lineRule="auto" w:line="240" w:before="0" w:after="0"/>
              <w:contextualSpacing/>
              <w:rPr>
                <w:rFonts w:ascii="Times New Roman" w:hAnsi="Times New Roman" w:eastAsia="Calibri" w:cs="Times New Roman"/>
                <w:color w:val="00000A"/>
              </w:rPr>
            </w:pPr>
            <w:r>
              <w:rPr>
                <w:rFonts w:eastAsia="Calibri" w:cs="Times New Roman" w:ascii="Times New Roman" w:hAnsi="Times New Roman"/>
                <w:color w:val="00000A"/>
              </w:rPr>
              <w:t>Проведення інвентаризації земельних ділянок сільськогосподарського призначення</w:t>
            </w:r>
          </w:p>
        </w:tc>
        <w:tc>
          <w:tcPr>
            <w:tcW w:w="113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2022-2024</w:t>
            </w:r>
          </w:p>
        </w:tc>
        <w:tc>
          <w:tcPr>
            <w:tcW w:w="710"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center"/>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402</w:t>
            </w:r>
          </w:p>
        </w:tc>
        <w:tc>
          <w:tcPr>
            <w:tcW w:w="711"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center"/>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410</w:t>
            </w:r>
          </w:p>
        </w:tc>
        <w:tc>
          <w:tcPr>
            <w:tcW w:w="711"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center"/>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406</w:t>
            </w:r>
          </w:p>
        </w:tc>
        <w:tc>
          <w:tcPr>
            <w:tcW w:w="992"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center"/>
              <w:rPr>
                <w:rFonts w:ascii="Times New Roman" w:hAnsi="Times New Roman" w:eastAsia="Calibri" w:cs="Calibri"/>
                <w:color w:val="00000A"/>
              </w:rPr>
            </w:pPr>
            <w:r>
              <w:rPr>
                <w:rFonts w:eastAsia="Calibri" w:cs="Calibri" w:ascii="Times New Roman" w:hAnsi="Times New Roman"/>
                <w:color w:val="00000A"/>
              </w:rPr>
              <w:t>1218</w:t>
            </w:r>
          </w:p>
        </w:tc>
        <w:tc>
          <w:tcPr>
            <w:tcW w:w="95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center"/>
              <w:rPr>
                <w:rFonts w:ascii="Calibri" w:hAnsi="Calibri" w:eastAsia="Times New Roman" w:cs="Times New Roman"/>
                <w:color w:val="000000"/>
                <w:lang w:eastAsia="ru-RU"/>
              </w:rPr>
            </w:pPr>
            <w:r>
              <w:rPr>
                <w:rFonts w:eastAsia="Times New Roman" w:cs="Times New Roman" w:ascii="Calibri" w:hAnsi="Calibri"/>
                <w:color w:val="000000"/>
                <w:lang w:eastAsia="ru-RU"/>
              </w:rPr>
            </w:r>
          </w:p>
        </w:tc>
      </w:tr>
      <w:tr>
        <w:trPr>
          <w:trHeight w:val="20" w:hRule="atLeast"/>
        </w:trPr>
        <w:tc>
          <w:tcPr>
            <w:tcW w:w="417" w:type="dxa"/>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496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Normal"/>
              <w:spacing w:lineRule="auto" w:line="240" w:before="0" w:after="0"/>
              <w:rPr>
                <w:rFonts w:ascii="Times New Roman" w:hAnsi="Times New Roman" w:eastAsia="Calibri" w:cs="Times New Roman"/>
                <w:color w:val="00000A"/>
              </w:rPr>
            </w:pPr>
            <w:r>
              <w:rPr>
                <w:rFonts w:eastAsia="Calibri" w:cs="Times New Roman" w:ascii="Times New Roman" w:hAnsi="Times New Roman"/>
                <w:color w:val="00000A"/>
              </w:rPr>
              <w:t xml:space="preserve">Розробка та реалізація Програми </w:t>
            </w:r>
            <w:r>
              <w:rPr>
                <w:rFonts w:eastAsia="Calibri" w:cs="Times New Roman" w:ascii="Times New Roman" w:hAnsi="Times New Roman"/>
                <w:color w:val="000000"/>
              </w:rPr>
              <w:t>залучення інвестицій в економіку Каховської ТГ на 2022-2024 роки:(Розробка інвестиційного паспорта громади, стимулювання реалізації інвестиційних проєктів)</w:t>
            </w:r>
          </w:p>
        </w:tc>
        <w:tc>
          <w:tcPr>
            <w:tcW w:w="1134" w:type="dxa"/>
            <w:gridSpan w:val="2"/>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2022-2024</w:t>
            </w:r>
          </w:p>
        </w:tc>
        <w:tc>
          <w:tcPr>
            <w:tcW w:w="710" w:type="dxa"/>
            <w:gridSpan w:val="2"/>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center"/>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75</w:t>
            </w:r>
          </w:p>
        </w:tc>
        <w:tc>
          <w:tcPr>
            <w:tcW w:w="711" w:type="dxa"/>
            <w:gridSpan w:val="2"/>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center"/>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80,0</w:t>
            </w:r>
          </w:p>
        </w:tc>
        <w:tc>
          <w:tcPr>
            <w:tcW w:w="711" w:type="dxa"/>
            <w:gridSpan w:val="2"/>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center"/>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30,0</w:t>
            </w:r>
          </w:p>
        </w:tc>
        <w:tc>
          <w:tcPr>
            <w:tcW w:w="992" w:type="dxa"/>
            <w:gridSpan w:val="2"/>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center"/>
              <w:rPr>
                <w:rFonts w:ascii="Times New Roman" w:hAnsi="Times New Roman" w:eastAsia="Calibri" w:cs="Calibri"/>
                <w:color w:val="00000A"/>
              </w:rPr>
            </w:pPr>
            <w:r>
              <w:rPr>
                <w:rFonts w:eastAsia="Calibri" w:cs="Calibri" w:ascii="Times New Roman" w:hAnsi="Times New Roman"/>
                <w:color w:val="00000A"/>
              </w:rPr>
              <w:t>185</w:t>
            </w:r>
          </w:p>
        </w:tc>
        <w:tc>
          <w:tcPr>
            <w:tcW w:w="957" w:type="dxa"/>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center"/>
              <w:rPr>
                <w:rFonts w:ascii="Calibri" w:hAnsi="Calibri" w:eastAsia="Times New Roman" w:cs="Times New Roman"/>
                <w:color w:val="000000"/>
                <w:lang w:eastAsia="ru-RU"/>
              </w:rPr>
            </w:pPr>
            <w:r>
              <w:rPr>
                <w:rFonts w:eastAsia="Times New Roman" w:cs="Times New Roman" w:ascii="Calibri" w:hAnsi="Calibri"/>
                <w:color w:val="000000"/>
                <w:lang w:eastAsia="ru-RU"/>
              </w:rPr>
            </w:r>
          </w:p>
        </w:tc>
      </w:tr>
      <w:tr>
        <w:trPr>
          <w:trHeight w:val="20" w:hRule="atLeast"/>
        </w:trPr>
        <w:tc>
          <w:tcPr>
            <w:tcW w:w="41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r>
          </w:p>
        </w:tc>
        <w:tc>
          <w:tcPr>
            <w:tcW w:w="496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Normal"/>
              <w:tabs>
                <w:tab w:val="left" w:pos="317" w:leader="none"/>
              </w:tabs>
              <w:spacing w:lineRule="auto" w:line="240" w:before="0" w:after="0"/>
              <w:contextualSpacing/>
              <w:jc w:val="both"/>
              <w:rPr>
                <w:rFonts w:ascii="Times New Roman" w:hAnsi="Times New Roman" w:eastAsia="Calibri" w:cs="Times New Roman"/>
                <w:color w:val="00000A"/>
              </w:rPr>
            </w:pPr>
            <w:r>
              <w:rPr>
                <w:rFonts w:eastAsia="Calibri" w:cs="Times New Roman" w:ascii="Times New Roman" w:hAnsi="Times New Roman"/>
                <w:color w:val="00000A"/>
              </w:rPr>
              <w:t>Розробка та ухвалення цільової Програми стимулювання зайнятості та розвитку сільського господарства на 2022-2024 роки</w:t>
            </w:r>
          </w:p>
        </w:tc>
        <w:tc>
          <w:tcPr>
            <w:tcW w:w="113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2022-2024</w:t>
            </w:r>
          </w:p>
        </w:tc>
        <w:tc>
          <w:tcPr>
            <w:tcW w:w="710"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center"/>
              <w:rPr>
                <w:rFonts w:ascii="Times New Roman" w:hAnsi="Times New Roman" w:eastAsia="Calibri" w:cs="Calibri"/>
                <w:color w:val="00000A"/>
              </w:rPr>
            </w:pPr>
            <w:r>
              <w:rPr>
                <w:rFonts w:eastAsia="Times New Roman" w:cs="Times New Roman" w:ascii="Times New Roman" w:hAnsi="Times New Roman"/>
                <w:color w:val="000000"/>
                <w:lang w:val="ru-RU" w:eastAsia="ru-RU"/>
              </w:rPr>
              <w:t>200,0</w:t>
            </w:r>
          </w:p>
        </w:tc>
        <w:tc>
          <w:tcPr>
            <w:tcW w:w="711"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center"/>
              <w:rPr>
                <w:rFonts w:ascii="Times New Roman" w:hAnsi="Times New Roman" w:eastAsia="Calibri" w:cs="Calibri"/>
                <w:color w:val="00000A"/>
              </w:rPr>
            </w:pPr>
            <w:r>
              <w:rPr>
                <w:rFonts w:eastAsia="Times New Roman" w:cs="Times New Roman" w:ascii="Times New Roman" w:hAnsi="Times New Roman"/>
                <w:color w:val="000000"/>
                <w:lang w:val="ru-RU" w:eastAsia="ru-RU"/>
              </w:rPr>
              <w:t>0</w:t>
            </w:r>
          </w:p>
        </w:tc>
        <w:tc>
          <w:tcPr>
            <w:tcW w:w="711"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center"/>
              <w:rPr>
                <w:rFonts w:ascii="Times New Roman" w:hAnsi="Times New Roman" w:eastAsia="Calibri" w:cs="Calibri"/>
                <w:color w:val="00000A"/>
              </w:rPr>
            </w:pPr>
            <w:r>
              <w:rPr>
                <w:rFonts w:eastAsia="Times New Roman" w:cs="Times New Roman" w:ascii="Times New Roman" w:hAnsi="Times New Roman"/>
                <w:color w:val="000000"/>
                <w:lang w:val="ru-RU" w:eastAsia="ru-RU"/>
              </w:rPr>
              <w:t>0</w:t>
            </w:r>
          </w:p>
        </w:tc>
        <w:tc>
          <w:tcPr>
            <w:tcW w:w="992"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center"/>
              <w:rPr>
                <w:rFonts w:ascii="Times New Roman" w:hAnsi="Times New Roman" w:eastAsia="Calibri" w:cs="Calibri"/>
                <w:color w:val="00000A"/>
              </w:rPr>
            </w:pPr>
            <w:r>
              <w:rPr>
                <w:rFonts w:eastAsia="Calibri" w:cs="Calibri" w:ascii="Times New Roman" w:hAnsi="Times New Roman"/>
                <w:color w:val="00000A"/>
              </w:rPr>
              <w:t>200</w:t>
            </w:r>
          </w:p>
        </w:tc>
        <w:tc>
          <w:tcPr>
            <w:tcW w:w="95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center"/>
              <w:rPr>
                <w:rFonts w:ascii="Times New Roman" w:hAnsi="Times New Roman" w:eastAsia="Calibri" w:cs="Calibri"/>
                <w:color w:val="00000A"/>
              </w:rPr>
            </w:pPr>
            <w:r>
              <w:rPr>
                <w:rFonts w:eastAsia="Times New Roman" w:cs="Times New Roman" w:ascii="Times New Roman" w:hAnsi="Times New Roman"/>
                <w:color w:val="000000"/>
                <w:lang w:val="ru-RU" w:eastAsia="ru-RU"/>
              </w:rPr>
              <w:t>5000</w:t>
            </w:r>
          </w:p>
        </w:tc>
      </w:tr>
      <w:tr>
        <w:trPr>
          <w:trHeight w:val="20" w:hRule="atLeast"/>
        </w:trPr>
        <w:tc>
          <w:tcPr>
            <w:tcW w:w="417" w:type="dxa"/>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r>
          </w:p>
        </w:tc>
        <w:tc>
          <w:tcPr>
            <w:tcW w:w="496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Normal"/>
              <w:spacing w:lineRule="auto" w:line="240" w:before="0" w:after="0"/>
              <w:rPr>
                <w:rFonts w:ascii="Times New Roman" w:hAnsi="Times New Roman" w:eastAsia="Calibri" w:cs="Times New Roman"/>
                <w:color w:val="00000A"/>
              </w:rPr>
            </w:pPr>
            <w:r>
              <w:rPr>
                <w:rFonts w:eastAsia="Calibri" w:cs="Times New Roman" w:ascii="Times New Roman" w:hAnsi="Times New Roman"/>
                <w:color w:val="00000A"/>
              </w:rPr>
              <w:t>Відновлення та раціональне використання меліоративної системи</w:t>
            </w:r>
          </w:p>
        </w:tc>
        <w:tc>
          <w:tcPr>
            <w:tcW w:w="1134" w:type="dxa"/>
            <w:gridSpan w:val="2"/>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2022-2024</w:t>
            </w:r>
          </w:p>
        </w:tc>
        <w:tc>
          <w:tcPr>
            <w:tcW w:w="710" w:type="dxa"/>
            <w:gridSpan w:val="2"/>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center"/>
              <w:rPr>
                <w:rFonts w:ascii="Times New Roman" w:hAnsi="Times New Roman" w:eastAsia="Calibri" w:cs="Calibri"/>
                <w:color w:val="00000A"/>
              </w:rPr>
            </w:pPr>
            <w:r>
              <w:rPr>
                <w:rFonts w:eastAsia="Times New Roman" w:cs="Times New Roman" w:ascii="Times New Roman" w:hAnsi="Times New Roman"/>
                <w:color w:val="000000"/>
                <w:lang w:val="ru-RU" w:eastAsia="ru-RU"/>
              </w:rPr>
              <w:t>200</w:t>
            </w:r>
          </w:p>
        </w:tc>
        <w:tc>
          <w:tcPr>
            <w:tcW w:w="711" w:type="dxa"/>
            <w:gridSpan w:val="2"/>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center"/>
              <w:rPr>
                <w:rFonts w:ascii="Times New Roman" w:hAnsi="Times New Roman" w:eastAsia="Calibri" w:cs="Calibri"/>
                <w:color w:val="00000A"/>
              </w:rPr>
            </w:pPr>
            <w:r>
              <w:rPr>
                <w:rFonts w:eastAsia="Times New Roman" w:cs="Times New Roman" w:ascii="Times New Roman" w:hAnsi="Times New Roman"/>
                <w:color w:val="000000"/>
                <w:lang w:val="ru-RU" w:eastAsia="ru-RU"/>
              </w:rPr>
              <w:t>0</w:t>
            </w:r>
          </w:p>
        </w:tc>
        <w:tc>
          <w:tcPr>
            <w:tcW w:w="711" w:type="dxa"/>
            <w:gridSpan w:val="2"/>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center"/>
              <w:rPr>
                <w:rFonts w:ascii="Times New Roman" w:hAnsi="Times New Roman" w:eastAsia="Calibri" w:cs="Calibri"/>
                <w:color w:val="00000A"/>
              </w:rPr>
            </w:pPr>
            <w:r>
              <w:rPr>
                <w:rFonts w:eastAsia="Times New Roman" w:cs="Times New Roman" w:ascii="Times New Roman" w:hAnsi="Times New Roman"/>
                <w:color w:val="000000"/>
                <w:lang w:val="ru-RU" w:eastAsia="ru-RU"/>
              </w:rPr>
              <w:t>0</w:t>
            </w:r>
          </w:p>
        </w:tc>
        <w:tc>
          <w:tcPr>
            <w:tcW w:w="992" w:type="dxa"/>
            <w:gridSpan w:val="2"/>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center"/>
              <w:rPr>
                <w:rFonts w:ascii="Times New Roman" w:hAnsi="Times New Roman" w:eastAsia="Calibri" w:cs="Calibri"/>
                <w:color w:val="00000A"/>
              </w:rPr>
            </w:pPr>
            <w:r>
              <w:rPr>
                <w:rFonts w:eastAsia="Calibri" w:cs="Calibri" w:ascii="Times New Roman" w:hAnsi="Times New Roman"/>
                <w:color w:val="00000A"/>
              </w:rPr>
              <w:t>200</w:t>
            </w:r>
          </w:p>
        </w:tc>
        <w:tc>
          <w:tcPr>
            <w:tcW w:w="957" w:type="dxa"/>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5500,0</w:t>
            </w:r>
          </w:p>
        </w:tc>
      </w:tr>
      <w:tr>
        <w:trPr>
          <w:trHeight w:val="20" w:hRule="atLeast"/>
        </w:trPr>
        <w:tc>
          <w:tcPr>
            <w:tcW w:w="41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496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Normal"/>
              <w:spacing w:lineRule="auto" w:line="240" w:before="0" w:after="0"/>
              <w:rPr>
                <w:rFonts w:ascii="Times New Roman" w:hAnsi="Times New Roman" w:eastAsia="Times New Roman" w:cs="Times New Roman"/>
                <w:color w:val="000000"/>
                <w:lang w:eastAsia="ru-RU"/>
              </w:rPr>
            </w:pPr>
            <w:r>
              <w:rPr>
                <w:rFonts w:eastAsia="Calibri" w:cs="Times New Roman" w:ascii="Times New Roman" w:hAnsi="Times New Roman"/>
                <w:color w:val="00000A"/>
              </w:rPr>
              <w:t>Створення туристичного веломаршруту "Каховка - Сосновий бір"</w:t>
            </w:r>
          </w:p>
        </w:tc>
        <w:tc>
          <w:tcPr>
            <w:tcW w:w="113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2022-2024</w:t>
            </w:r>
          </w:p>
        </w:tc>
        <w:tc>
          <w:tcPr>
            <w:tcW w:w="710"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711"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711"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85,6</w:t>
            </w:r>
          </w:p>
        </w:tc>
        <w:tc>
          <w:tcPr>
            <w:tcW w:w="992"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Calibri" w:cs="Calibri" w:ascii="Times New Roman" w:hAnsi="Times New Roman"/>
                <w:color w:val="00000A"/>
              </w:rPr>
              <w:t>85,6</w:t>
            </w:r>
          </w:p>
        </w:tc>
        <w:tc>
          <w:tcPr>
            <w:tcW w:w="95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val="ru-RU" w:eastAsia="ru-RU"/>
              </w:rPr>
              <w:t>325,5</w:t>
            </w:r>
          </w:p>
        </w:tc>
      </w:tr>
      <w:tr>
        <w:trPr>
          <w:trHeight w:val="20" w:hRule="atLeast"/>
        </w:trPr>
        <w:tc>
          <w:tcPr>
            <w:tcW w:w="41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496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Normal"/>
              <w:spacing w:lineRule="auto" w:line="240" w:before="0" w:after="0"/>
              <w:rPr>
                <w:rFonts w:ascii="Times New Roman" w:hAnsi="Times New Roman" w:eastAsia="Calibri" w:cs="Times New Roman"/>
                <w:color w:val="00000A"/>
              </w:rPr>
            </w:pPr>
            <w:r>
              <w:rPr>
                <w:rFonts w:eastAsia="Calibri" w:cs="Times New Roman" w:ascii="Times New Roman" w:hAnsi="Times New Roman"/>
                <w:color w:val="00000A"/>
              </w:rPr>
              <w:t>Створення електронних реєстрів історичних і культурних об'єктів, локацій, атракцій</w:t>
            </w:r>
          </w:p>
        </w:tc>
        <w:tc>
          <w:tcPr>
            <w:tcW w:w="113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2022-2024</w:t>
            </w:r>
          </w:p>
        </w:tc>
        <w:tc>
          <w:tcPr>
            <w:tcW w:w="710"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0</w:t>
            </w:r>
          </w:p>
        </w:tc>
        <w:tc>
          <w:tcPr>
            <w:tcW w:w="711"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0</w:t>
            </w:r>
          </w:p>
        </w:tc>
        <w:tc>
          <w:tcPr>
            <w:tcW w:w="711"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0</w:t>
            </w:r>
          </w:p>
        </w:tc>
        <w:tc>
          <w:tcPr>
            <w:tcW w:w="992"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Calibri" w:cs="Calibri" w:ascii="Times New Roman" w:hAnsi="Times New Roman"/>
                <w:color w:val="00000A"/>
              </w:rPr>
            </w:r>
          </w:p>
        </w:tc>
        <w:tc>
          <w:tcPr>
            <w:tcW w:w="95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0</w:t>
            </w:r>
          </w:p>
        </w:tc>
      </w:tr>
      <w:tr>
        <w:trPr>
          <w:trHeight w:val="20" w:hRule="atLeast"/>
        </w:trPr>
        <w:tc>
          <w:tcPr>
            <w:tcW w:w="41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496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Normal"/>
              <w:spacing w:lineRule="auto" w:line="240" w:before="0" w:after="0"/>
              <w:rPr>
                <w:rFonts w:ascii="Times New Roman" w:hAnsi="Times New Roman" w:eastAsia="Calibri" w:cs="Times New Roman"/>
                <w:color w:val="00000A"/>
              </w:rPr>
            </w:pPr>
            <w:r>
              <w:rPr>
                <w:rFonts w:eastAsia="Calibri" w:cs="Times New Roman" w:ascii="Times New Roman" w:hAnsi="Times New Roman"/>
                <w:color w:val="00000A"/>
              </w:rPr>
              <w:t xml:space="preserve">Інвентаризація туристичних ресурсів (культурних об'єктів, локацій, атракцій) </w:t>
            </w:r>
          </w:p>
        </w:tc>
        <w:tc>
          <w:tcPr>
            <w:tcW w:w="113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2022-2024</w:t>
            </w:r>
          </w:p>
        </w:tc>
        <w:tc>
          <w:tcPr>
            <w:tcW w:w="710"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0</w:t>
            </w:r>
          </w:p>
        </w:tc>
        <w:tc>
          <w:tcPr>
            <w:tcW w:w="711"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0</w:t>
            </w:r>
          </w:p>
        </w:tc>
        <w:tc>
          <w:tcPr>
            <w:tcW w:w="711"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0</w:t>
            </w:r>
          </w:p>
        </w:tc>
        <w:tc>
          <w:tcPr>
            <w:tcW w:w="992"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Calibri" w:cs="Calibri" w:ascii="Times New Roman" w:hAnsi="Times New Roman"/>
                <w:color w:val="00000A"/>
              </w:rPr>
            </w:r>
          </w:p>
        </w:tc>
        <w:tc>
          <w:tcPr>
            <w:tcW w:w="95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0</w:t>
            </w:r>
          </w:p>
        </w:tc>
      </w:tr>
      <w:tr>
        <w:trPr>
          <w:trHeight w:val="20" w:hRule="atLeast"/>
        </w:trPr>
        <w:tc>
          <w:tcPr>
            <w:tcW w:w="41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496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Normal"/>
              <w:spacing w:lineRule="auto" w:line="240" w:before="0" w:after="0"/>
              <w:rPr>
                <w:rFonts w:ascii="Times New Roman" w:hAnsi="Times New Roman" w:eastAsia="Calibri" w:cs="Times New Roman"/>
                <w:color w:val="00000A"/>
              </w:rPr>
            </w:pPr>
            <w:r>
              <w:rPr>
                <w:rFonts w:eastAsia="Calibri" w:cs="Times New Roman" w:ascii="Times New Roman" w:hAnsi="Times New Roman"/>
                <w:color w:val="00000A"/>
              </w:rPr>
              <w:t>«Місто Майстрів: Сприяння розвитку туризму шляхом популяризації народних промислів та ремесел»</w:t>
            </w:r>
          </w:p>
        </w:tc>
        <w:tc>
          <w:tcPr>
            <w:tcW w:w="113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2023-2024</w:t>
            </w:r>
          </w:p>
        </w:tc>
        <w:tc>
          <w:tcPr>
            <w:tcW w:w="710"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0</w:t>
            </w:r>
          </w:p>
        </w:tc>
        <w:tc>
          <w:tcPr>
            <w:tcW w:w="711"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128,6</w:t>
            </w:r>
          </w:p>
        </w:tc>
        <w:tc>
          <w:tcPr>
            <w:tcW w:w="711"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0</w:t>
            </w:r>
          </w:p>
        </w:tc>
        <w:tc>
          <w:tcPr>
            <w:tcW w:w="992"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Calibri" w:cs="Calibri" w:ascii="Times New Roman" w:hAnsi="Times New Roman"/>
                <w:color w:val="00000A"/>
              </w:rPr>
              <w:t>128,6</w:t>
            </w:r>
          </w:p>
        </w:tc>
        <w:tc>
          <w:tcPr>
            <w:tcW w:w="95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val="ru-RU" w:eastAsia="ru-RU"/>
              </w:rPr>
              <w:t>484,1</w:t>
            </w:r>
          </w:p>
        </w:tc>
      </w:tr>
      <w:tr>
        <w:trPr>
          <w:trHeight w:val="20" w:hRule="atLeast"/>
        </w:trPr>
        <w:tc>
          <w:tcPr>
            <w:tcW w:w="41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496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Normal"/>
              <w:spacing w:lineRule="auto" w:line="240" w:before="0" w:after="0"/>
              <w:rPr>
                <w:rFonts w:ascii="Times New Roman" w:hAnsi="Times New Roman" w:eastAsia="Calibri" w:cs="Times New Roman"/>
                <w:color w:val="00000A"/>
              </w:rPr>
            </w:pPr>
            <w:r>
              <w:rPr>
                <w:rFonts w:eastAsia="Calibri" w:cs="Times New Roman" w:ascii="Times New Roman" w:hAnsi="Times New Roman"/>
                <w:color w:val="00000A"/>
              </w:rPr>
              <w:t>Створення мотузкового парку в м. Каховка</w:t>
            </w:r>
          </w:p>
        </w:tc>
        <w:tc>
          <w:tcPr>
            <w:tcW w:w="113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2022-2024</w:t>
            </w:r>
          </w:p>
        </w:tc>
        <w:tc>
          <w:tcPr>
            <w:tcW w:w="710"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0</w:t>
            </w:r>
          </w:p>
        </w:tc>
        <w:tc>
          <w:tcPr>
            <w:tcW w:w="711"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0</w:t>
            </w:r>
          </w:p>
        </w:tc>
        <w:tc>
          <w:tcPr>
            <w:tcW w:w="711"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0</w:t>
            </w:r>
          </w:p>
        </w:tc>
        <w:tc>
          <w:tcPr>
            <w:tcW w:w="992"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val="ru-RU" w:eastAsia="ru-RU"/>
              </w:rPr>
              <w:t>0</w:t>
            </w:r>
          </w:p>
        </w:tc>
        <w:tc>
          <w:tcPr>
            <w:tcW w:w="95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val="ru-RU" w:eastAsia="ru-RU"/>
              </w:rPr>
              <w:t xml:space="preserve">180 </w:t>
            </w:r>
          </w:p>
        </w:tc>
      </w:tr>
      <w:tr>
        <w:trPr>
          <w:trHeight w:val="20" w:hRule="atLeast"/>
        </w:trPr>
        <w:tc>
          <w:tcPr>
            <w:tcW w:w="41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496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Normal"/>
              <w:spacing w:lineRule="auto" w:line="240" w:before="0" w:after="0"/>
              <w:rPr>
                <w:rFonts w:ascii="Times New Roman" w:hAnsi="Times New Roman" w:eastAsia="Calibri" w:cs="Times New Roman"/>
                <w:color w:val="00000A"/>
              </w:rPr>
            </w:pPr>
            <w:r>
              <w:rPr>
                <w:rFonts w:eastAsia="Calibri" w:cs="Times New Roman" w:ascii="Times New Roman" w:hAnsi="Times New Roman"/>
                <w:color w:val="00000A"/>
              </w:rPr>
              <w:t>Навчання/підвищення кваліфікації гідів екскурсоводів, тур агентів</w:t>
            </w:r>
          </w:p>
        </w:tc>
        <w:tc>
          <w:tcPr>
            <w:tcW w:w="113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2023-2024</w:t>
            </w:r>
          </w:p>
        </w:tc>
        <w:tc>
          <w:tcPr>
            <w:tcW w:w="710"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0</w:t>
            </w:r>
          </w:p>
        </w:tc>
        <w:tc>
          <w:tcPr>
            <w:tcW w:w="711"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711"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992"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Calibri" w:cs="Calibri" w:ascii="Times New Roman" w:hAnsi="Times New Roman"/>
                <w:color w:val="00000A"/>
              </w:rPr>
              <w:t xml:space="preserve">0 </w:t>
            </w:r>
          </w:p>
        </w:tc>
        <w:tc>
          <w:tcPr>
            <w:tcW w:w="95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val="ru-RU" w:eastAsia="ru-RU"/>
              </w:rPr>
              <w:t>150,0</w:t>
            </w:r>
          </w:p>
        </w:tc>
      </w:tr>
      <w:tr>
        <w:trPr>
          <w:trHeight w:val="20" w:hRule="atLeast"/>
        </w:trPr>
        <w:tc>
          <w:tcPr>
            <w:tcW w:w="41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496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Normal"/>
              <w:spacing w:lineRule="auto" w:line="240" w:before="0" w:after="0"/>
              <w:rPr>
                <w:rFonts w:ascii="Times New Roman" w:hAnsi="Times New Roman" w:eastAsia="Calibri" w:cs="Times New Roman"/>
                <w:color w:val="00000A"/>
              </w:rPr>
            </w:pPr>
            <w:r>
              <w:rPr>
                <w:rFonts w:eastAsia="Calibri" w:cs="Times New Roman" w:ascii="Times New Roman" w:hAnsi="Times New Roman"/>
                <w:color w:val="00000A"/>
              </w:rPr>
              <w:t>Розвиток гончарства</w:t>
            </w:r>
          </w:p>
        </w:tc>
        <w:tc>
          <w:tcPr>
            <w:tcW w:w="113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2022-2024</w:t>
            </w:r>
          </w:p>
        </w:tc>
        <w:tc>
          <w:tcPr>
            <w:tcW w:w="710"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0</w:t>
            </w:r>
          </w:p>
        </w:tc>
        <w:tc>
          <w:tcPr>
            <w:tcW w:w="711"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0</w:t>
            </w:r>
          </w:p>
        </w:tc>
        <w:tc>
          <w:tcPr>
            <w:tcW w:w="711"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0</w:t>
            </w:r>
          </w:p>
        </w:tc>
        <w:tc>
          <w:tcPr>
            <w:tcW w:w="992"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Calibri" w:cs="Calibri" w:ascii="Times New Roman" w:hAnsi="Times New Roman"/>
                <w:color w:val="00000A"/>
              </w:rPr>
              <w:t>0</w:t>
            </w:r>
          </w:p>
        </w:tc>
        <w:tc>
          <w:tcPr>
            <w:tcW w:w="95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val="ru-RU" w:eastAsia="ru-RU"/>
              </w:rPr>
              <w:t>230,0</w:t>
            </w:r>
          </w:p>
        </w:tc>
      </w:tr>
      <w:tr>
        <w:trPr>
          <w:trHeight w:val="20" w:hRule="atLeast"/>
        </w:trPr>
        <w:tc>
          <w:tcPr>
            <w:tcW w:w="41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496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Normal"/>
              <w:spacing w:lineRule="auto" w:line="240" w:before="0" w:after="0"/>
              <w:rPr>
                <w:rFonts w:ascii="Times New Roman" w:hAnsi="Times New Roman" w:eastAsia="Calibri" w:cs="Times New Roman"/>
                <w:color w:val="00000A"/>
              </w:rPr>
            </w:pPr>
            <w:r>
              <w:rPr>
                <w:rFonts w:eastAsia="Calibri" w:cs="Times New Roman" w:ascii="Times New Roman" w:hAnsi="Times New Roman"/>
                <w:color w:val="00000A"/>
              </w:rPr>
              <w:t>Розвиток зеленого та гастрономічного туризму в сільській місцевості</w:t>
            </w:r>
          </w:p>
        </w:tc>
        <w:tc>
          <w:tcPr>
            <w:tcW w:w="113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2022-2024</w:t>
            </w:r>
          </w:p>
        </w:tc>
        <w:tc>
          <w:tcPr>
            <w:tcW w:w="710"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0</w:t>
            </w:r>
          </w:p>
        </w:tc>
        <w:tc>
          <w:tcPr>
            <w:tcW w:w="711"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0</w:t>
            </w:r>
          </w:p>
        </w:tc>
        <w:tc>
          <w:tcPr>
            <w:tcW w:w="711"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0</w:t>
            </w:r>
          </w:p>
        </w:tc>
        <w:tc>
          <w:tcPr>
            <w:tcW w:w="992"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Calibri" w:cs="Calibri" w:ascii="Times New Roman" w:hAnsi="Times New Roman"/>
                <w:color w:val="00000A"/>
              </w:rPr>
              <w:t>0</w:t>
            </w:r>
          </w:p>
        </w:tc>
        <w:tc>
          <w:tcPr>
            <w:tcW w:w="95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val="ru-RU" w:eastAsia="ru-RU"/>
              </w:rPr>
              <w:t>350</w:t>
            </w:r>
          </w:p>
        </w:tc>
      </w:tr>
      <w:tr>
        <w:trPr>
          <w:trHeight w:val="20" w:hRule="atLeast"/>
        </w:trPr>
        <w:tc>
          <w:tcPr>
            <w:tcW w:w="417" w:type="dxa"/>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496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Normal"/>
              <w:spacing w:lineRule="auto" w:line="240" w:before="0" w:after="0"/>
              <w:rPr>
                <w:rFonts w:ascii="Times New Roman" w:hAnsi="Times New Roman" w:eastAsia="Calibri" w:cs="Times New Roman"/>
                <w:color w:val="00000A"/>
              </w:rPr>
            </w:pPr>
            <w:r>
              <w:rPr>
                <w:rFonts w:eastAsia="Calibri" w:cs="Times New Roman" w:ascii="Times New Roman" w:hAnsi="Times New Roman"/>
                <w:color w:val="00000A"/>
              </w:rPr>
              <w:t>Розробка Стратегії розвитку туризму Каховської міської територіальної громади</w:t>
            </w:r>
          </w:p>
        </w:tc>
        <w:tc>
          <w:tcPr>
            <w:tcW w:w="1134" w:type="dxa"/>
            <w:gridSpan w:val="2"/>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2022-2024</w:t>
            </w:r>
          </w:p>
        </w:tc>
        <w:tc>
          <w:tcPr>
            <w:tcW w:w="710" w:type="dxa"/>
            <w:gridSpan w:val="2"/>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0</w:t>
            </w:r>
          </w:p>
        </w:tc>
        <w:tc>
          <w:tcPr>
            <w:tcW w:w="711" w:type="dxa"/>
            <w:gridSpan w:val="2"/>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0</w:t>
            </w:r>
          </w:p>
        </w:tc>
        <w:tc>
          <w:tcPr>
            <w:tcW w:w="711" w:type="dxa"/>
            <w:gridSpan w:val="2"/>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0</w:t>
            </w:r>
          </w:p>
        </w:tc>
        <w:tc>
          <w:tcPr>
            <w:tcW w:w="992" w:type="dxa"/>
            <w:gridSpan w:val="2"/>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Calibri" w:cs="Calibri" w:ascii="Times New Roman" w:hAnsi="Times New Roman"/>
                <w:color w:val="00000A"/>
              </w:rPr>
              <w:t>0</w:t>
            </w:r>
          </w:p>
        </w:tc>
        <w:tc>
          <w:tcPr>
            <w:tcW w:w="957" w:type="dxa"/>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0</w:t>
            </w:r>
          </w:p>
        </w:tc>
      </w:tr>
      <w:tr>
        <w:trPr>
          <w:trHeight w:val="20" w:hRule="atLeast"/>
        </w:trPr>
        <w:tc>
          <w:tcPr>
            <w:tcW w:w="41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496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rPr>
                <w:rFonts w:ascii="Times New Roman" w:hAnsi="Times New Roman" w:eastAsia="Times New Roman" w:cs="Times New Roman"/>
                <w:color w:val="000000"/>
                <w:lang w:eastAsia="ru-RU"/>
              </w:rPr>
            </w:pPr>
            <w:r>
              <w:rPr>
                <w:rFonts w:eastAsia="Calibri" w:cs="Times New Roman" w:ascii="Times New Roman" w:hAnsi="Times New Roman"/>
                <w:color w:val="00000A"/>
              </w:rPr>
              <w:t>Стратегія позиціонування, брендингу та цифрового маркетингу для просування туристичних пропозицій громади</w:t>
            </w:r>
          </w:p>
        </w:tc>
        <w:tc>
          <w:tcPr>
            <w:tcW w:w="11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2022-2024</w:t>
            </w:r>
          </w:p>
        </w:tc>
        <w:tc>
          <w:tcPr>
            <w:tcW w:w="71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0</w:t>
            </w:r>
          </w:p>
        </w:tc>
        <w:tc>
          <w:tcPr>
            <w:tcW w:w="99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Calibri" w:cs="Calibri" w:ascii="Times New Roman" w:hAnsi="Times New Roman"/>
                <w:color w:val="00000A"/>
              </w:rPr>
              <w:t>0</w:t>
            </w:r>
          </w:p>
        </w:tc>
        <w:tc>
          <w:tcPr>
            <w:tcW w:w="9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val="ru-RU" w:eastAsia="ru-RU"/>
              </w:rPr>
              <w:t>100</w:t>
            </w:r>
          </w:p>
        </w:tc>
      </w:tr>
      <w:tr>
        <w:trPr>
          <w:trHeight w:val="20" w:hRule="atLeast"/>
        </w:trPr>
        <w:tc>
          <w:tcPr>
            <w:tcW w:w="41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496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Normal"/>
              <w:spacing w:lineRule="auto" w:line="240" w:before="0" w:after="0"/>
              <w:rPr>
                <w:rFonts w:ascii="Times New Roman" w:hAnsi="Times New Roman" w:eastAsia="Times New Roman" w:cs="Times New Roman"/>
                <w:color w:val="000000"/>
                <w:lang w:eastAsia="ru-RU"/>
              </w:rPr>
            </w:pPr>
            <w:r>
              <w:rPr>
                <w:rFonts w:eastAsia="Calibri" w:cs="Times New Roman" w:ascii="Times New Roman" w:hAnsi="Times New Roman"/>
                <w:color w:val="000000"/>
                <w:highlight w:val="white"/>
              </w:rPr>
              <w:t>Створення спроможної мережі освітніх закладів . Створення міського академічного ліцею.</w:t>
            </w:r>
          </w:p>
        </w:tc>
        <w:tc>
          <w:tcPr>
            <w:tcW w:w="11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2022-2024</w:t>
            </w:r>
          </w:p>
        </w:tc>
        <w:tc>
          <w:tcPr>
            <w:tcW w:w="71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128,3</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700,0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126,1</w:t>
            </w:r>
          </w:p>
        </w:tc>
        <w:tc>
          <w:tcPr>
            <w:tcW w:w="99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Calibri" w:cs="Calibri" w:ascii="Times New Roman" w:hAnsi="Times New Roman"/>
                <w:color w:val="00000A"/>
              </w:rPr>
              <w:t>324,4</w:t>
            </w:r>
          </w:p>
        </w:tc>
        <w:tc>
          <w:tcPr>
            <w:tcW w:w="9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Calibri" w:hAnsi="Calibri" w:eastAsia="Times New Roman" w:cs="Times New Roman"/>
                <w:color w:val="000000"/>
                <w:lang w:val="ru-RU" w:eastAsia="ru-RU"/>
              </w:rPr>
            </w:pPr>
            <w:r>
              <w:rPr>
                <w:rFonts w:eastAsia="Times New Roman" w:cs="Times New Roman" w:ascii="Calibri" w:hAnsi="Calibri"/>
                <w:color w:val="000000"/>
                <w:lang w:val="ru-RU" w:eastAsia="ru-RU"/>
              </w:rPr>
            </w:r>
          </w:p>
        </w:tc>
      </w:tr>
      <w:tr>
        <w:trPr>
          <w:trHeight w:val="20" w:hRule="atLeast"/>
        </w:trPr>
        <w:tc>
          <w:tcPr>
            <w:tcW w:w="41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496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Normal"/>
              <w:spacing w:lineRule="auto" w:line="240" w:before="0" w:after="0"/>
              <w:contextualSpacing/>
              <w:rPr>
                <w:rFonts w:ascii="Times New Roman" w:hAnsi="Times New Roman" w:eastAsia="Times New Roman" w:cs="Times New Roman"/>
                <w:color w:val="000000"/>
                <w:lang w:eastAsia="ru-RU"/>
              </w:rPr>
            </w:pPr>
            <w:r>
              <w:rPr>
                <w:rFonts w:eastAsia="Calibri" w:cs="Times New Roman" w:ascii="Times New Roman" w:hAnsi="Times New Roman"/>
                <w:color w:val="00000A"/>
              </w:rPr>
              <w:t>Реконструкція системи опалення будівлі Каховського ЗДО №3 «Веселка» Каховської міської ради з улаштуванням опалювальної системи в існуючому господарському приміщенні</w:t>
            </w:r>
          </w:p>
        </w:tc>
        <w:tc>
          <w:tcPr>
            <w:tcW w:w="113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2022-2024</w:t>
            </w:r>
          </w:p>
        </w:tc>
        <w:tc>
          <w:tcPr>
            <w:tcW w:w="710"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r>
          </w:p>
        </w:tc>
        <w:tc>
          <w:tcPr>
            <w:tcW w:w="711"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2848,6</w:t>
            </w:r>
          </w:p>
        </w:tc>
        <w:tc>
          <w:tcPr>
            <w:tcW w:w="711"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r>
          </w:p>
        </w:tc>
        <w:tc>
          <w:tcPr>
            <w:tcW w:w="992"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Calibri" w:cs="Calibri" w:ascii="Times New Roman" w:hAnsi="Times New Roman"/>
                <w:color w:val="00000A"/>
              </w:rPr>
              <w:t>2848,6</w:t>
            </w:r>
          </w:p>
        </w:tc>
        <w:tc>
          <w:tcPr>
            <w:tcW w:w="95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Calibri" w:hAnsi="Calibri" w:eastAsia="Times New Roman" w:cs="Times New Roman"/>
                <w:color w:val="000000"/>
                <w:lang w:eastAsia="ru-RU"/>
              </w:rPr>
            </w:pPr>
            <w:r>
              <w:rPr>
                <w:rFonts w:eastAsia="Times New Roman" w:cs="Times New Roman" w:ascii="Calibri" w:hAnsi="Calibri"/>
                <w:color w:val="000000"/>
                <w:lang w:eastAsia="ru-RU"/>
              </w:rPr>
            </w:r>
          </w:p>
        </w:tc>
      </w:tr>
      <w:tr>
        <w:trPr>
          <w:trHeight w:val="20" w:hRule="atLeast"/>
        </w:trPr>
        <w:tc>
          <w:tcPr>
            <w:tcW w:w="41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496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Normal"/>
              <w:spacing w:lineRule="auto" w:line="240" w:before="0" w:after="0"/>
              <w:contextualSpacing/>
              <w:rPr>
                <w:rFonts w:ascii="Times New Roman" w:hAnsi="Times New Roman" w:eastAsia="Calibri" w:cs="Times New Roman"/>
                <w:color w:val="00000A"/>
              </w:rPr>
            </w:pPr>
            <w:r>
              <w:rPr>
                <w:rFonts w:eastAsia="Calibri" w:cs="Times New Roman" w:ascii="Times New Roman" w:hAnsi="Times New Roman"/>
                <w:color w:val="00000A"/>
              </w:rPr>
              <w:t>Капітальний ремонт (Термомодернізація) будівлі Каховського ДНЗ №10 «Казка»</w:t>
            </w:r>
          </w:p>
        </w:tc>
        <w:tc>
          <w:tcPr>
            <w:tcW w:w="113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2022-2024</w:t>
            </w:r>
          </w:p>
        </w:tc>
        <w:tc>
          <w:tcPr>
            <w:tcW w:w="710"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eastAsia="ru-RU"/>
              </w:rPr>
              <w:t>0</w:t>
            </w:r>
          </w:p>
        </w:tc>
        <w:tc>
          <w:tcPr>
            <w:tcW w:w="711"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0</w:t>
            </w:r>
          </w:p>
        </w:tc>
        <w:tc>
          <w:tcPr>
            <w:tcW w:w="711"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3924,9</w:t>
            </w:r>
          </w:p>
        </w:tc>
        <w:tc>
          <w:tcPr>
            <w:tcW w:w="992"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Calibri" w:cs="Calibri" w:ascii="Times New Roman" w:hAnsi="Times New Roman"/>
                <w:color w:val="00000A"/>
              </w:rPr>
              <w:t>3924,9</w:t>
            </w:r>
          </w:p>
        </w:tc>
        <w:tc>
          <w:tcPr>
            <w:tcW w:w="95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Calibri" w:hAnsi="Calibri" w:eastAsia="Times New Roman" w:cs="Times New Roman"/>
                <w:color w:val="000000"/>
                <w:lang w:eastAsia="ru-RU"/>
              </w:rPr>
            </w:pPr>
            <w:r>
              <w:rPr>
                <w:rFonts w:eastAsia="Times New Roman" w:cs="Times New Roman" w:ascii="Calibri" w:hAnsi="Calibri"/>
                <w:color w:val="000000"/>
                <w:lang w:eastAsia="ru-RU"/>
              </w:rPr>
            </w:r>
          </w:p>
        </w:tc>
      </w:tr>
      <w:tr>
        <w:trPr>
          <w:trHeight w:val="20" w:hRule="atLeast"/>
        </w:trPr>
        <w:tc>
          <w:tcPr>
            <w:tcW w:w="41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496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Normal"/>
              <w:spacing w:lineRule="auto" w:line="240" w:before="0" w:after="0"/>
              <w:contextualSpacing/>
              <w:rPr>
                <w:rFonts w:ascii="Times New Roman" w:hAnsi="Times New Roman" w:eastAsia="Calibri" w:cs="Times New Roman"/>
                <w:color w:val="00000A"/>
              </w:rPr>
            </w:pPr>
            <w:r>
              <w:rPr>
                <w:rFonts w:eastAsia="Calibri" w:cs="Times New Roman" w:ascii="Times New Roman" w:hAnsi="Times New Roman"/>
                <w:color w:val="00000A"/>
              </w:rPr>
              <w:t>Капітальний ремонт харчоблоку з оновленням інтер’єру  в приміщеннях Каховської ЗОШ І-ІІІ ступенів №1</w:t>
            </w:r>
          </w:p>
        </w:tc>
        <w:tc>
          <w:tcPr>
            <w:tcW w:w="113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2022-2024</w:t>
            </w:r>
          </w:p>
        </w:tc>
        <w:tc>
          <w:tcPr>
            <w:tcW w:w="710"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343</w:t>
            </w:r>
          </w:p>
        </w:tc>
        <w:tc>
          <w:tcPr>
            <w:tcW w:w="711"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eastAsia="ru-RU"/>
              </w:rPr>
              <w:t>0</w:t>
            </w:r>
          </w:p>
        </w:tc>
        <w:tc>
          <w:tcPr>
            <w:tcW w:w="711"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0</w:t>
            </w:r>
          </w:p>
        </w:tc>
        <w:tc>
          <w:tcPr>
            <w:tcW w:w="992"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Calibri" w:cs="Calibri" w:ascii="Times New Roman" w:hAnsi="Times New Roman"/>
                <w:color w:val="00000A"/>
              </w:rPr>
              <w:t>343</w:t>
            </w:r>
          </w:p>
        </w:tc>
        <w:tc>
          <w:tcPr>
            <w:tcW w:w="95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eastAsia="ru-RU"/>
              </w:rPr>
              <w:t>800,1</w:t>
            </w:r>
          </w:p>
        </w:tc>
      </w:tr>
      <w:tr>
        <w:trPr>
          <w:trHeight w:val="20" w:hRule="atLeast"/>
        </w:trPr>
        <w:tc>
          <w:tcPr>
            <w:tcW w:w="41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496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Normal"/>
              <w:spacing w:lineRule="auto" w:line="240" w:before="0" w:after="0"/>
              <w:contextualSpacing/>
              <w:rPr>
                <w:rFonts w:ascii="Times New Roman" w:hAnsi="Times New Roman" w:eastAsia="Calibri" w:cs="Times New Roman"/>
                <w:color w:val="00000A"/>
              </w:rPr>
            </w:pPr>
            <w:r>
              <w:rPr>
                <w:rFonts w:eastAsia="Calibri" w:cs="Times New Roman" w:ascii="Times New Roman" w:hAnsi="Times New Roman"/>
                <w:color w:val="00000A"/>
              </w:rPr>
              <w:t>Пожежна безпека закладів освіти громади</w:t>
            </w:r>
          </w:p>
        </w:tc>
        <w:tc>
          <w:tcPr>
            <w:tcW w:w="113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2022-2024</w:t>
            </w:r>
          </w:p>
        </w:tc>
        <w:tc>
          <w:tcPr>
            <w:tcW w:w="710"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3500</w:t>
            </w:r>
          </w:p>
        </w:tc>
        <w:tc>
          <w:tcPr>
            <w:tcW w:w="711"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3500</w:t>
            </w:r>
          </w:p>
        </w:tc>
        <w:tc>
          <w:tcPr>
            <w:tcW w:w="711"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13200</w:t>
            </w:r>
          </w:p>
        </w:tc>
        <w:tc>
          <w:tcPr>
            <w:tcW w:w="992"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Calibri" w:cs="Calibri" w:ascii="Times New Roman" w:hAnsi="Times New Roman"/>
                <w:color w:val="00000A"/>
              </w:rPr>
              <w:t>20200</w:t>
            </w:r>
          </w:p>
        </w:tc>
        <w:tc>
          <w:tcPr>
            <w:tcW w:w="95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Calibri" w:hAnsi="Calibri" w:eastAsia="Times New Roman" w:cs="Times New Roman"/>
                <w:color w:val="000000"/>
                <w:lang w:eastAsia="ru-RU"/>
              </w:rPr>
            </w:pPr>
            <w:r>
              <w:rPr>
                <w:rFonts w:eastAsia="Times New Roman" w:cs="Times New Roman" w:ascii="Calibri" w:hAnsi="Calibri"/>
                <w:color w:val="000000"/>
                <w:lang w:eastAsia="ru-RU"/>
              </w:rPr>
            </w:r>
          </w:p>
        </w:tc>
      </w:tr>
      <w:tr>
        <w:trPr>
          <w:trHeight w:val="20" w:hRule="atLeast"/>
        </w:trPr>
        <w:tc>
          <w:tcPr>
            <w:tcW w:w="41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496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Normal"/>
              <w:spacing w:lineRule="auto" w:line="240" w:before="0" w:after="0"/>
              <w:contextualSpacing/>
              <w:rPr>
                <w:rFonts w:ascii="Times New Roman" w:hAnsi="Times New Roman" w:eastAsia="Calibri" w:cs="Times New Roman"/>
                <w:color w:val="00000A"/>
              </w:rPr>
            </w:pPr>
            <w:r>
              <w:rPr>
                <w:rFonts w:eastAsia="Calibri" w:cs="Times New Roman" w:ascii="Times New Roman" w:hAnsi="Times New Roman"/>
                <w:color w:val="00000A"/>
              </w:rPr>
              <w:t>Модернізація та оновлення матеріальної бази харчоблоків закладів освіти громади</w:t>
            </w:r>
          </w:p>
        </w:tc>
        <w:tc>
          <w:tcPr>
            <w:tcW w:w="113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2022-2024</w:t>
            </w:r>
          </w:p>
        </w:tc>
        <w:tc>
          <w:tcPr>
            <w:tcW w:w="710"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eastAsia="ru-RU"/>
              </w:rPr>
              <w:t>600</w:t>
            </w:r>
          </w:p>
        </w:tc>
        <w:tc>
          <w:tcPr>
            <w:tcW w:w="711"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eastAsia="ru-RU"/>
              </w:rPr>
              <w:t>900</w:t>
            </w:r>
          </w:p>
        </w:tc>
        <w:tc>
          <w:tcPr>
            <w:tcW w:w="711"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eastAsia="ru-RU"/>
              </w:rPr>
              <w:t>1500</w:t>
            </w:r>
          </w:p>
        </w:tc>
        <w:tc>
          <w:tcPr>
            <w:tcW w:w="992"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Calibri" w:cs="Calibri" w:ascii="Times New Roman" w:hAnsi="Times New Roman"/>
                <w:color w:val="00000A"/>
              </w:rPr>
              <w:t>3000</w:t>
            </w:r>
          </w:p>
        </w:tc>
        <w:tc>
          <w:tcPr>
            <w:tcW w:w="95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eastAsia="ru-RU"/>
              </w:rPr>
              <w:t>7000</w:t>
            </w:r>
          </w:p>
        </w:tc>
      </w:tr>
      <w:tr>
        <w:trPr>
          <w:trHeight w:val="20" w:hRule="atLeast"/>
        </w:trPr>
        <w:tc>
          <w:tcPr>
            <w:tcW w:w="41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496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Normal"/>
              <w:spacing w:lineRule="auto" w:line="240" w:before="0" w:after="0"/>
              <w:contextualSpacing/>
              <w:rPr>
                <w:rFonts w:ascii="Times New Roman" w:hAnsi="Times New Roman" w:eastAsia="Calibri" w:cs="Times New Roman"/>
                <w:color w:val="00000A"/>
              </w:rPr>
            </w:pPr>
            <w:r>
              <w:rPr>
                <w:rFonts w:eastAsia="Calibri" w:cs="Times New Roman" w:ascii="Times New Roman" w:hAnsi="Times New Roman"/>
                <w:color w:val="00000A"/>
              </w:rPr>
              <w:t>Модернізація матеріально-технічної бази ЗДО”Орлятко” в с.Чорноморівка</w:t>
            </w:r>
          </w:p>
        </w:tc>
        <w:tc>
          <w:tcPr>
            <w:tcW w:w="113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2022-2024</w:t>
            </w:r>
          </w:p>
        </w:tc>
        <w:tc>
          <w:tcPr>
            <w:tcW w:w="710"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eastAsia="ru-RU"/>
              </w:rPr>
              <w:t>0</w:t>
            </w:r>
          </w:p>
        </w:tc>
        <w:tc>
          <w:tcPr>
            <w:tcW w:w="711"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eastAsia="ru-RU"/>
              </w:rPr>
              <w:t>0</w:t>
            </w:r>
          </w:p>
        </w:tc>
        <w:tc>
          <w:tcPr>
            <w:tcW w:w="711"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eastAsia="ru-RU"/>
              </w:rPr>
              <w:t>0</w:t>
            </w:r>
          </w:p>
        </w:tc>
        <w:tc>
          <w:tcPr>
            <w:tcW w:w="992"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Calibri" w:cs="Calibri" w:ascii="Times New Roman" w:hAnsi="Times New Roman"/>
                <w:color w:val="00000A"/>
              </w:rPr>
              <w:t>0</w:t>
            </w:r>
          </w:p>
        </w:tc>
        <w:tc>
          <w:tcPr>
            <w:tcW w:w="95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950,0</w:t>
            </w:r>
          </w:p>
        </w:tc>
      </w:tr>
      <w:tr>
        <w:trPr>
          <w:trHeight w:val="360" w:hRule="atLeast"/>
        </w:trPr>
        <w:tc>
          <w:tcPr>
            <w:tcW w:w="417" w:type="dxa"/>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496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Normal"/>
              <w:spacing w:lineRule="auto" w:line="240" w:before="0" w:after="0"/>
              <w:rPr>
                <w:rFonts w:ascii="Times New Roman" w:hAnsi="Times New Roman" w:eastAsia="Calibri" w:cs="Times New Roman"/>
                <w:color w:val="00000A"/>
              </w:rPr>
            </w:pPr>
            <w:r>
              <w:rPr>
                <w:rFonts w:eastAsia="Calibri" w:cs="Times New Roman" w:ascii="Times New Roman" w:hAnsi="Times New Roman"/>
                <w:color w:val="00000A"/>
              </w:rPr>
              <w:t>Реконструкція системи опалення Чорноморівської гімназії</w:t>
            </w:r>
          </w:p>
        </w:tc>
        <w:tc>
          <w:tcPr>
            <w:tcW w:w="1134" w:type="dxa"/>
            <w:gridSpan w:val="2"/>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2022-2024</w:t>
            </w:r>
          </w:p>
        </w:tc>
        <w:tc>
          <w:tcPr>
            <w:tcW w:w="710" w:type="dxa"/>
            <w:gridSpan w:val="2"/>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500,0</w:t>
            </w:r>
          </w:p>
        </w:tc>
        <w:tc>
          <w:tcPr>
            <w:tcW w:w="711" w:type="dxa"/>
            <w:gridSpan w:val="2"/>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r>
          </w:p>
        </w:tc>
        <w:tc>
          <w:tcPr>
            <w:tcW w:w="711" w:type="dxa"/>
            <w:gridSpan w:val="2"/>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r>
          </w:p>
        </w:tc>
        <w:tc>
          <w:tcPr>
            <w:tcW w:w="992" w:type="dxa"/>
            <w:gridSpan w:val="2"/>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Calibri" w:cs="Calibri" w:ascii="Times New Roman" w:hAnsi="Times New Roman"/>
                <w:color w:val="00000A"/>
              </w:rPr>
              <w:t>500</w:t>
            </w:r>
          </w:p>
        </w:tc>
        <w:tc>
          <w:tcPr>
            <w:tcW w:w="957" w:type="dxa"/>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Calibri" w:hAnsi="Calibri" w:eastAsia="Times New Roman" w:cs="Times New Roman"/>
                <w:color w:val="000000"/>
                <w:lang w:eastAsia="ru-RU"/>
              </w:rPr>
            </w:pPr>
            <w:r>
              <w:rPr>
                <w:rFonts w:eastAsia="Times New Roman" w:cs="Times New Roman" w:ascii="Calibri" w:hAnsi="Calibri"/>
                <w:color w:val="000000"/>
                <w:lang w:eastAsia="ru-RU"/>
              </w:rPr>
            </w:r>
          </w:p>
        </w:tc>
      </w:tr>
      <w:tr>
        <w:trPr>
          <w:trHeight w:val="20" w:hRule="atLeast"/>
        </w:trPr>
        <w:tc>
          <w:tcPr>
            <w:tcW w:w="41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r>
          </w:p>
        </w:tc>
        <w:tc>
          <w:tcPr>
            <w:tcW w:w="496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Normal"/>
              <w:spacing w:lineRule="auto" w:line="240" w:before="0" w:after="0"/>
              <w:contextualSpacing/>
              <w:rPr>
                <w:rFonts w:ascii="Times New Roman" w:hAnsi="Times New Roman" w:eastAsia="Times New Roman" w:cs="Times New Roman"/>
                <w:color w:val="000000"/>
                <w:lang w:eastAsia="ru-RU"/>
              </w:rPr>
            </w:pPr>
            <w:r>
              <w:rPr>
                <w:rFonts w:eastAsia="Calibri" w:cs="Times New Roman" w:ascii="Times New Roman" w:hAnsi="Times New Roman"/>
                <w:color w:val="000000"/>
                <w:highlight w:val="white"/>
              </w:rPr>
              <w:t>Програма підтримки КМП” Каховська центральна міська лікарня” ім.Панкеєвих на 2022 рік</w:t>
            </w:r>
          </w:p>
        </w:tc>
        <w:tc>
          <w:tcPr>
            <w:tcW w:w="113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2022-2024</w:t>
            </w:r>
          </w:p>
        </w:tc>
        <w:tc>
          <w:tcPr>
            <w:tcW w:w="710"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eastAsia="ru-RU"/>
              </w:rPr>
              <w:t>1000</w:t>
            </w:r>
          </w:p>
        </w:tc>
        <w:tc>
          <w:tcPr>
            <w:tcW w:w="711"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eastAsia="ru-RU"/>
              </w:rPr>
              <w:t>1100</w:t>
            </w:r>
          </w:p>
        </w:tc>
        <w:tc>
          <w:tcPr>
            <w:tcW w:w="711"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eastAsia="ru-RU"/>
              </w:rPr>
              <w:t>1300</w:t>
            </w:r>
          </w:p>
        </w:tc>
        <w:tc>
          <w:tcPr>
            <w:tcW w:w="992"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Calibri" w:cs="Calibri" w:ascii="Times New Roman" w:hAnsi="Times New Roman"/>
                <w:color w:val="00000A"/>
              </w:rPr>
              <w:t>3400</w:t>
            </w:r>
          </w:p>
        </w:tc>
        <w:tc>
          <w:tcPr>
            <w:tcW w:w="95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eastAsia="ru-RU"/>
              </w:rPr>
              <w:t>2300</w:t>
            </w:r>
          </w:p>
        </w:tc>
      </w:tr>
      <w:tr>
        <w:trPr>
          <w:trHeight w:val="20" w:hRule="atLeast"/>
        </w:trPr>
        <w:tc>
          <w:tcPr>
            <w:tcW w:w="41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r>
          </w:p>
        </w:tc>
        <w:tc>
          <w:tcPr>
            <w:tcW w:w="496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Normal"/>
              <w:spacing w:lineRule="auto" w:line="240" w:before="0" w:after="0"/>
              <w:contextualSpacing/>
              <w:rPr>
                <w:rFonts w:ascii="Times New Roman" w:hAnsi="Times New Roman" w:eastAsia="Calibri" w:cs="Times New Roman"/>
                <w:color w:val="00000A"/>
              </w:rPr>
            </w:pPr>
            <w:r>
              <w:rPr>
                <w:rFonts w:eastAsia="Calibri" w:cs="Times New Roman" w:ascii="Times New Roman" w:hAnsi="Times New Roman"/>
                <w:color w:val="000000"/>
              </w:rPr>
              <w:t>Програма розвитку та фінансової підтримки КМП” Каховський центр первинної медико санітарної допомоги на 2022 рік”</w:t>
            </w:r>
          </w:p>
        </w:tc>
        <w:tc>
          <w:tcPr>
            <w:tcW w:w="113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2022-2024</w:t>
            </w:r>
          </w:p>
        </w:tc>
        <w:tc>
          <w:tcPr>
            <w:tcW w:w="710"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1949,9</w:t>
            </w:r>
          </w:p>
        </w:tc>
        <w:tc>
          <w:tcPr>
            <w:tcW w:w="711"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1825,0</w:t>
            </w:r>
          </w:p>
        </w:tc>
        <w:tc>
          <w:tcPr>
            <w:tcW w:w="711"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1499,0</w:t>
            </w:r>
          </w:p>
        </w:tc>
        <w:tc>
          <w:tcPr>
            <w:tcW w:w="992"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Calibri" w:cs="Calibri" w:ascii="Times New Roman" w:hAnsi="Times New Roman"/>
                <w:color w:val="00000A"/>
              </w:rPr>
              <w:t>5273,9</w:t>
            </w:r>
          </w:p>
        </w:tc>
        <w:tc>
          <w:tcPr>
            <w:tcW w:w="95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Calibri" w:hAnsi="Calibri" w:eastAsia="Times New Roman" w:cs="Times New Roman"/>
                <w:color w:val="000000"/>
                <w:lang w:eastAsia="ru-RU"/>
              </w:rPr>
            </w:pPr>
            <w:r>
              <w:rPr>
                <w:rFonts w:eastAsia="Times New Roman" w:cs="Times New Roman" w:ascii="Calibri" w:hAnsi="Calibri"/>
                <w:color w:val="000000"/>
                <w:lang w:eastAsia="ru-RU"/>
              </w:rPr>
            </w:r>
          </w:p>
        </w:tc>
      </w:tr>
      <w:tr>
        <w:trPr>
          <w:trHeight w:val="20" w:hRule="atLeast"/>
        </w:trPr>
        <w:tc>
          <w:tcPr>
            <w:tcW w:w="417" w:type="dxa"/>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r>
          </w:p>
        </w:tc>
        <w:tc>
          <w:tcPr>
            <w:tcW w:w="496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tcPr>
          <w:p>
            <w:pPr>
              <w:pStyle w:val="Normal"/>
              <w:spacing w:lineRule="auto" w:line="240" w:before="0" w:after="0"/>
              <w:rPr>
                <w:rFonts w:ascii="Times New Roman" w:hAnsi="Times New Roman" w:eastAsia="Calibri" w:cs="Times New Roman"/>
                <w:color w:val="000000"/>
              </w:rPr>
            </w:pPr>
            <w:r>
              <w:rPr>
                <w:rFonts w:eastAsia="Calibri" w:cs="Times New Roman" w:ascii="Times New Roman" w:hAnsi="Times New Roman"/>
                <w:color w:val="000000"/>
              </w:rPr>
              <w:t>Збереження в територіальній громаді філії станції переливання крові</w:t>
            </w:r>
          </w:p>
        </w:tc>
        <w:tc>
          <w:tcPr>
            <w:tcW w:w="1134" w:type="dxa"/>
            <w:gridSpan w:val="2"/>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tcPr>
          <w:p>
            <w:pPr>
              <w:pStyle w:val="Normal"/>
              <w:spacing w:lineRule="auto" w:line="240" w:before="0" w:after="0"/>
              <w:jc w:val="both"/>
              <w:rPr>
                <w:rFonts w:ascii="Times New Roman" w:hAnsi="Times New Roman" w:eastAsia="Times New Roman" w:cs="Times New Roman"/>
                <w:color w:val="000000"/>
                <w:highlight w:val="white"/>
                <w:lang w:eastAsia="ru-RU"/>
              </w:rPr>
            </w:pPr>
            <w:r>
              <w:rPr>
                <w:rFonts w:eastAsia="Times New Roman" w:cs="Times New Roman" w:ascii="Times New Roman" w:hAnsi="Times New Roman"/>
                <w:color w:val="000000"/>
                <w:highlight w:val="white"/>
                <w:lang w:eastAsia="ru-RU"/>
              </w:rPr>
              <w:t>2022-2024</w:t>
            </w:r>
          </w:p>
        </w:tc>
        <w:tc>
          <w:tcPr>
            <w:tcW w:w="710" w:type="dxa"/>
            <w:gridSpan w:val="2"/>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tcPr>
          <w:p>
            <w:pPr>
              <w:pStyle w:val="Normal"/>
              <w:spacing w:lineRule="auto" w:line="240" w:before="0" w:after="0"/>
              <w:jc w:val="both"/>
              <w:rPr>
                <w:rFonts w:ascii="Times New Roman" w:hAnsi="Times New Roman" w:eastAsia="Times New Roman" w:cs="Times New Roman"/>
                <w:color w:val="000000"/>
                <w:highlight w:val="white"/>
                <w:lang w:eastAsia="ru-RU"/>
              </w:rPr>
            </w:pPr>
            <w:r>
              <w:rPr>
                <w:rFonts w:eastAsia="Times New Roman" w:cs="Times New Roman" w:ascii="Times New Roman" w:hAnsi="Times New Roman"/>
                <w:color w:val="000000"/>
                <w:highlight w:val="white"/>
                <w:lang w:eastAsia="ru-RU"/>
              </w:rPr>
              <w:t>0</w:t>
            </w:r>
          </w:p>
        </w:tc>
        <w:tc>
          <w:tcPr>
            <w:tcW w:w="711" w:type="dxa"/>
            <w:gridSpan w:val="2"/>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tcPr>
          <w:p>
            <w:pPr>
              <w:pStyle w:val="Normal"/>
              <w:spacing w:lineRule="auto" w:line="240" w:before="0" w:after="0"/>
              <w:jc w:val="both"/>
              <w:rPr>
                <w:rFonts w:ascii="Times New Roman" w:hAnsi="Times New Roman" w:eastAsia="Times New Roman" w:cs="Times New Roman"/>
                <w:color w:val="000000"/>
                <w:highlight w:val="white"/>
                <w:lang w:eastAsia="ru-RU"/>
              </w:rPr>
            </w:pPr>
            <w:r>
              <w:rPr>
                <w:rFonts w:eastAsia="Times New Roman" w:cs="Times New Roman" w:ascii="Times New Roman" w:hAnsi="Times New Roman"/>
                <w:color w:val="000000"/>
                <w:highlight w:val="white"/>
                <w:lang w:eastAsia="ru-RU"/>
              </w:rPr>
              <w:t>0</w:t>
            </w:r>
          </w:p>
        </w:tc>
        <w:tc>
          <w:tcPr>
            <w:tcW w:w="711" w:type="dxa"/>
            <w:gridSpan w:val="2"/>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tcPr>
          <w:p>
            <w:pPr>
              <w:pStyle w:val="Normal"/>
              <w:spacing w:lineRule="auto" w:line="240" w:before="0" w:after="0"/>
              <w:jc w:val="both"/>
              <w:rPr>
                <w:rFonts w:ascii="Times New Roman" w:hAnsi="Times New Roman" w:eastAsia="Times New Roman" w:cs="Times New Roman"/>
                <w:color w:val="000000"/>
                <w:highlight w:val="white"/>
                <w:lang w:eastAsia="ru-RU"/>
              </w:rPr>
            </w:pPr>
            <w:r>
              <w:rPr>
                <w:rFonts w:eastAsia="Times New Roman" w:cs="Times New Roman" w:ascii="Times New Roman" w:hAnsi="Times New Roman"/>
                <w:color w:val="000000"/>
                <w:highlight w:val="white"/>
                <w:lang w:eastAsia="ru-RU"/>
              </w:rPr>
              <w:t>0</w:t>
            </w:r>
          </w:p>
        </w:tc>
        <w:tc>
          <w:tcPr>
            <w:tcW w:w="992" w:type="dxa"/>
            <w:gridSpan w:val="2"/>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highlight w:val="white"/>
                <w:lang w:eastAsia="ru-RU"/>
              </w:rPr>
              <w:t>0</w:t>
            </w:r>
          </w:p>
        </w:tc>
        <w:tc>
          <w:tcPr>
            <w:tcW w:w="957" w:type="dxa"/>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tcPr>
          <w:p>
            <w:pPr>
              <w:pStyle w:val="Normal"/>
              <w:spacing w:lineRule="auto" w:line="240" w:before="0" w:after="0"/>
              <w:jc w:val="both"/>
              <w:rPr>
                <w:rFonts w:ascii="Times New Roman" w:hAnsi="Times New Roman" w:eastAsia="Times New Roman" w:cs="Times New Roman"/>
                <w:color w:val="000000"/>
                <w:highlight w:val="white"/>
                <w:lang w:eastAsia="ru-RU"/>
              </w:rPr>
            </w:pPr>
            <w:r>
              <w:rPr>
                <w:rFonts w:eastAsia="Times New Roman" w:cs="Times New Roman" w:ascii="Times New Roman" w:hAnsi="Times New Roman"/>
                <w:color w:val="000000"/>
                <w:highlight w:val="white"/>
                <w:lang w:eastAsia="ru-RU"/>
              </w:rPr>
              <w:t>4500</w:t>
            </w:r>
          </w:p>
        </w:tc>
      </w:tr>
      <w:tr>
        <w:trPr>
          <w:trHeight w:val="20" w:hRule="atLeast"/>
        </w:trPr>
        <w:tc>
          <w:tcPr>
            <w:tcW w:w="41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r>
          </w:p>
        </w:tc>
        <w:tc>
          <w:tcPr>
            <w:tcW w:w="496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tcPr>
          <w:p>
            <w:pPr>
              <w:pStyle w:val="Normal"/>
              <w:spacing w:lineRule="auto" w:line="240" w:before="0" w:after="0"/>
              <w:rPr>
                <w:rFonts w:ascii="Times New Roman" w:hAnsi="Times New Roman" w:eastAsia="Calibri" w:cs="Calibri"/>
                <w:color w:val="00000A"/>
              </w:rPr>
            </w:pPr>
            <w:r>
              <w:rPr>
                <w:rFonts w:eastAsia="Calibri" w:cs="Calibri" w:ascii="Times New Roman" w:hAnsi="Times New Roman"/>
                <w:color w:val="00000A"/>
              </w:rPr>
              <w:t xml:space="preserve">Програма забезпечення житлом медичних працівників </w:t>
            </w:r>
            <w:r>
              <w:rPr>
                <w:rFonts w:eastAsia="Calibri" w:cs="Times New Roman" w:ascii="Times New Roman" w:hAnsi="Times New Roman"/>
                <w:color w:val="000000"/>
              </w:rPr>
              <w:t xml:space="preserve">закладів охорони здоров’я Каховської ТГ </w:t>
            </w:r>
          </w:p>
        </w:tc>
        <w:tc>
          <w:tcPr>
            <w:tcW w:w="11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tcPr>
          <w:p>
            <w:pPr>
              <w:pStyle w:val="Normal"/>
              <w:spacing w:lineRule="auto" w:line="240" w:before="0" w:after="0"/>
              <w:jc w:val="both"/>
              <w:rPr>
                <w:rFonts w:ascii="Times New Roman" w:hAnsi="Times New Roman" w:eastAsia="Times New Roman" w:cs="Times New Roman"/>
                <w:color w:val="000000"/>
                <w:highlight w:val="white"/>
                <w:lang w:eastAsia="ru-RU"/>
              </w:rPr>
            </w:pPr>
            <w:r>
              <w:rPr>
                <w:rFonts w:eastAsia="Times New Roman" w:cs="Times New Roman" w:ascii="Times New Roman" w:hAnsi="Times New Roman"/>
                <w:color w:val="000000"/>
                <w:highlight w:val="white"/>
                <w:lang w:eastAsia="ru-RU"/>
              </w:rPr>
              <w:t>2022-2024</w:t>
            </w:r>
          </w:p>
        </w:tc>
        <w:tc>
          <w:tcPr>
            <w:tcW w:w="71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tcPr>
          <w:p>
            <w:pPr>
              <w:pStyle w:val="Normal"/>
              <w:spacing w:lineRule="auto" w:line="240" w:before="0" w:after="0"/>
              <w:jc w:val="both"/>
              <w:rPr>
                <w:rFonts w:ascii="Times New Roman" w:hAnsi="Times New Roman" w:eastAsia="Times New Roman" w:cs="Times New Roman"/>
                <w:color w:val="000000"/>
                <w:highlight w:val="white"/>
                <w:lang w:eastAsia="ru-RU"/>
              </w:rPr>
            </w:pPr>
            <w:r>
              <w:rPr>
                <w:rFonts w:eastAsia="Times New Roman" w:cs="Times New Roman" w:ascii="Times New Roman" w:hAnsi="Times New Roman"/>
                <w:color w:val="000000"/>
                <w:highlight w:val="white"/>
                <w:lang w:eastAsia="ru-RU"/>
              </w:rPr>
              <w:t>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highlight w:val="white"/>
                <w:lang w:eastAsia="ru-RU"/>
              </w:rPr>
              <w:t>300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tcPr>
          <w:p>
            <w:pPr>
              <w:pStyle w:val="Normal"/>
              <w:spacing w:lineRule="auto" w:line="240" w:before="0" w:after="0"/>
              <w:jc w:val="both"/>
              <w:rPr>
                <w:rFonts w:ascii="Times New Roman" w:hAnsi="Times New Roman" w:eastAsia="Times New Roman" w:cs="Times New Roman"/>
                <w:color w:val="000000"/>
                <w:highlight w:val="white"/>
                <w:lang w:eastAsia="ru-RU"/>
              </w:rPr>
            </w:pPr>
            <w:r>
              <w:rPr>
                <w:rFonts w:eastAsia="Times New Roman" w:cs="Times New Roman" w:ascii="Times New Roman" w:hAnsi="Times New Roman"/>
                <w:color w:val="000000"/>
                <w:highlight w:val="white"/>
                <w:lang w:eastAsia="ru-RU"/>
              </w:rPr>
              <w:t>300</w:t>
            </w:r>
          </w:p>
        </w:tc>
        <w:tc>
          <w:tcPr>
            <w:tcW w:w="99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tcPr>
          <w:p>
            <w:pPr>
              <w:pStyle w:val="Normal"/>
              <w:spacing w:lineRule="auto" w:line="240" w:before="0" w:after="0"/>
              <w:jc w:val="both"/>
              <w:rPr>
                <w:rFonts w:ascii="Times New Roman" w:hAnsi="Times New Roman" w:eastAsia="Times New Roman" w:cs="Times New Roman"/>
                <w:color w:val="000000"/>
                <w:highlight w:val="white"/>
                <w:lang w:eastAsia="ru-RU"/>
              </w:rPr>
            </w:pPr>
            <w:r>
              <w:rPr>
                <w:rFonts w:eastAsia="Times New Roman" w:cs="Times New Roman" w:ascii="Times New Roman" w:hAnsi="Times New Roman"/>
                <w:color w:val="000000"/>
                <w:highlight w:val="white"/>
                <w:lang w:eastAsia="ru-RU"/>
              </w:rPr>
              <w:t>600</w:t>
            </w:r>
          </w:p>
        </w:tc>
        <w:tc>
          <w:tcPr>
            <w:tcW w:w="9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tcPr>
          <w:p>
            <w:pPr>
              <w:pStyle w:val="Normal"/>
              <w:spacing w:lineRule="auto" w:line="240" w:before="0" w:after="0"/>
              <w:jc w:val="both"/>
              <w:rPr>
                <w:rFonts w:ascii="Times New Roman" w:hAnsi="Times New Roman" w:eastAsia="Times New Roman" w:cs="Times New Roman"/>
                <w:color w:val="000000"/>
                <w:highlight w:val="white"/>
                <w:lang w:eastAsia="ru-RU"/>
              </w:rPr>
            </w:pPr>
            <w:r>
              <w:rPr>
                <w:rFonts w:eastAsia="Times New Roman" w:cs="Times New Roman" w:ascii="Times New Roman" w:hAnsi="Times New Roman"/>
                <w:color w:val="000000"/>
                <w:highlight w:val="white"/>
                <w:lang w:eastAsia="ru-RU"/>
              </w:rPr>
              <w:t>500</w:t>
            </w:r>
          </w:p>
        </w:tc>
      </w:tr>
      <w:tr>
        <w:trPr>
          <w:trHeight w:val="20" w:hRule="atLeast"/>
        </w:trPr>
        <w:tc>
          <w:tcPr>
            <w:tcW w:w="41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r>
          </w:p>
        </w:tc>
        <w:tc>
          <w:tcPr>
            <w:tcW w:w="496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Normal"/>
              <w:tabs>
                <w:tab w:val="left" w:pos="317" w:leader="none"/>
              </w:tabs>
              <w:spacing w:lineRule="auto" w:line="240" w:before="0" w:after="0"/>
              <w:contextualSpacing/>
              <w:jc w:val="both"/>
              <w:rPr>
                <w:rFonts w:ascii="Times New Roman" w:hAnsi="Times New Roman" w:eastAsia="Times New Roman" w:cs="Times New Roman"/>
                <w:color w:val="000000"/>
                <w:lang w:eastAsia="ru-RU"/>
              </w:rPr>
            </w:pPr>
            <w:r>
              <w:rPr>
                <w:rFonts w:eastAsia="Calibri" w:cs="Times New Roman" w:ascii="Times New Roman" w:hAnsi="Times New Roman"/>
                <w:color w:val="00000A"/>
              </w:rPr>
              <w:t>Модернізація дитячого відділу відокремленого підрозділу Управління культури і туризму «Міська універсальна бібліотека»</w:t>
            </w:r>
          </w:p>
        </w:tc>
        <w:tc>
          <w:tcPr>
            <w:tcW w:w="113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2023-2024</w:t>
            </w:r>
          </w:p>
        </w:tc>
        <w:tc>
          <w:tcPr>
            <w:tcW w:w="710"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0</w:t>
            </w:r>
          </w:p>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r>
          </w:p>
        </w:tc>
        <w:tc>
          <w:tcPr>
            <w:tcW w:w="711"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200,0</w:t>
            </w:r>
          </w:p>
        </w:tc>
        <w:tc>
          <w:tcPr>
            <w:tcW w:w="711"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200,0</w:t>
            </w:r>
          </w:p>
        </w:tc>
        <w:tc>
          <w:tcPr>
            <w:tcW w:w="992"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Calibri" w:cs="Calibri" w:ascii="Times New Roman" w:hAnsi="Times New Roman"/>
                <w:color w:val="00000A"/>
              </w:rPr>
              <w:t>400</w:t>
            </w:r>
          </w:p>
        </w:tc>
        <w:tc>
          <w:tcPr>
            <w:tcW w:w="95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Calibri" w:hAnsi="Calibri" w:eastAsia="Times New Roman" w:cs="Times New Roman"/>
                <w:color w:val="000000"/>
                <w:lang w:eastAsia="ru-RU"/>
              </w:rPr>
            </w:pPr>
            <w:r>
              <w:rPr>
                <w:rFonts w:eastAsia="Times New Roman" w:cs="Times New Roman" w:ascii="Calibri" w:hAnsi="Calibri"/>
                <w:color w:val="000000"/>
                <w:lang w:eastAsia="ru-RU"/>
              </w:rPr>
            </w:r>
          </w:p>
        </w:tc>
      </w:tr>
      <w:tr>
        <w:trPr>
          <w:trHeight w:val="20" w:hRule="atLeast"/>
        </w:trPr>
        <w:tc>
          <w:tcPr>
            <w:tcW w:w="41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r>
          </w:p>
        </w:tc>
        <w:tc>
          <w:tcPr>
            <w:tcW w:w="496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Normal"/>
              <w:tabs>
                <w:tab w:val="left" w:pos="317" w:leader="none"/>
              </w:tabs>
              <w:spacing w:lineRule="auto" w:line="240" w:before="0" w:after="0"/>
              <w:contextualSpacing/>
              <w:jc w:val="both"/>
              <w:rPr>
                <w:rFonts w:ascii="Times New Roman" w:hAnsi="Times New Roman" w:eastAsia="Calibri" w:cs="Times New Roman"/>
                <w:color w:val="00000A"/>
              </w:rPr>
            </w:pPr>
            <w:r>
              <w:rPr>
                <w:rFonts w:eastAsia="Calibri" w:cs="Times New Roman" w:ascii="Times New Roman" w:hAnsi="Times New Roman"/>
                <w:color w:val="00000A"/>
              </w:rPr>
              <w:t>Модернізація сценічного комплексу ВП МПК «Меліоратор» управління культури і туризму в м. Каховка, Херсонської області</w:t>
            </w:r>
          </w:p>
        </w:tc>
        <w:tc>
          <w:tcPr>
            <w:tcW w:w="113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2022-2024</w:t>
            </w:r>
          </w:p>
        </w:tc>
        <w:tc>
          <w:tcPr>
            <w:tcW w:w="710"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800,0</w:t>
            </w:r>
          </w:p>
        </w:tc>
        <w:tc>
          <w:tcPr>
            <w:tcW w:w="711"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500,0</w:t>
            </w:r>
          </w:p>
        </w:tc>
        <w:tc>
          <w:tcPr>
            <w:tcW w:w="711"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500,0</w:t>
            </w:r>
          </w:p>
        </w:tc>
        <w:tc>
          <w:tcPr>
            <w:tcW w:w="992"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Calibri" w:cs="Calibri" w:ascii="Times New Roman" w:hAnsi="Times New Roman"/>
                <w:color w:val="00000A"/>
              </w:rPr>
              <w:t>1800</w:t>
            </w:r>
          </w:p>
        </w:tc>
        <w:tc>
          <w:tcPr>
            <w:tcW w:w="95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Calibri" w:hAnsi="Calibri" w:eastAsia="Times New Roman" w:cs="Times New Roman"/>
                <w:color w:val="000000"/>
                <w:lang w:eastAsia="ru-RU"/>
              </w:rPr>
            </w:pPr>
            <w:r>
              <w:rPr>
                <w:rFonts w:eastAsia="Times New Roman" w:cs="Times New Roman" w:ascii="Calibri" w:hAnsi="Calibri"/>
                <w:color w:val="000000"/>
                <w:lang w:eastAsia="ru-RU"/>
              </w:rPr>
            </w:r>
          </w:p>
        </w:tc>
      </w:tr>
      <w:tr>
        <w:trPr>
          <w:trHeight w:val="20" w:hRule="atLeast"/>
        </w:trPr>
        <w:tc>
          <w:tcPr>
            <w:tcW w:w="41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r>
          </w:p>
        </w:tc>
        <w:tc>
          <w:tcPr>
            <w:tcW w:w="496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Normal"/>
              <w:tabs>
                <w:tab w:val="left" w:pos="317" w:leader="none"/>
              </w:tabs>
              <w:spacing w:lineRule="exact" w:line="243" w:before="0" w:after="0"/>
              <w:ind w:left="72" w:hanging="0"/>
              <w:contextualSpacing/>
              <w:jc w:val="both"/>
              <w:rPr>
                <w:rFonts w:ascii="Calibri" w:hAnsi="Calibri" w:eastAsia="Calibri" w:cs="Calibri"/>
                <w:color w:val="00000A"/>
              </w:rPr>
            </w:pPr>
            <w:r>
              <w:rPr>
                <w:rFonts w:eastAsia="Calibri" w:cs="Times New Roman" w:ascii="Times New Roman" w:hAnsi="Times New Roman"/>
                <w:color w:val="00000A"/>
                <w:highlight w:val="white"/>
              </w:rPr>
              <w:t>Капітальний ремонт внутрішнього протипожежного водопроводу на об’єкті міський ВП МПК «Меліоратор»</w:t>
            </w:r>
          </w:p>
        </w:tc>
        <w:tc>
          <w:tcPr>
            <w:tcW w:w="113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2024</w:t>
            </w:r>
          </w:p>
        </w:tc>
        <w:tc>
          <w:tcPr>
            <w:tcW w:w="710"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r>
          </w:p>
        </w:tc>
        <w:tc>
          <w:tcPr>
            <w:tcW w:w="711"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r>
          </w:p>
        </w:tc>
        <w:tc>
          <w:tcPr>
            <w:tcW w:w="711"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1288,4</w:t>
            </w:r>
          </w:p>
        </w:tc>
        <w:tc>
          <w:tcPr>
            <w:tcW w:w="992"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Calibri" w:cs="Calibri" w:ascii="Times New Roman" w:hAnsi="Times New Roman"/>
                <w:color w:val="00000A"/>
              </w:rPr>
              <w:t>1288,4</w:t>
            </w:r>
          </w:p>
        </w:tc>
        <w:tc>
          <w:tcPr>
            <w:tcW w:w="95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Calibri" w:hAnsi="Calibri" w:eastAsia="Times New Roman" w:cs="Times New Roman"/>
                <w:color w:val="000000"/>
                <w:lang w:eastAsia="ru-RU"/>
              </w:rPr>
            </w:pPr>
            <w:r>
              <w:rPr>
                <w:rFonts w:eastAsia="Times New Roman" w:cs="Times New Roman" w:ascii="Calibri" w:hAnsi="Calibri"/>
                <w:color w:val="000000"/>
                <w:lang w:eastAsia="ru-RU"/>
              </w:rPr>
            </w:r>
          </w:p>
        </w:tc>
      </w:tr>
      <w:tr>
        <w:trPr>
          <w:trHeight w:val="20" w:hRule="atLeast"/>
        </w:trPr>
        <w:tc>
          <w:tcPr>
            <w:tcW w:w="41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r>
          </w:p>
        </w:tc>
        <w:tc>
          <w:tcPr>
            <w:tcW w:w="496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Normal"/>
              <w:tabs>
                <w:tab w:val="left" w:pos="317" w:leader="none"/>
              </w:tabs>
              <w:spacing w:lineRule="auto" w:line="240" w:before="0" w:after="0"/>
              <w:jc w:val="both"/>
              <w:rPr>
                <w:rFonts w:ascii="Times New Roman" w:hAnsi="Times New Roman" w:eastAsia="Times New Roman" w:cs="Times New Roman"/>
                <w:color w:val="00000A"/>
                <w:lang w:eastAsia="uk-UA"/>
              </w:rPr>
            </w:pPr>
            <w:r>
              <w:rPr>
                <w:rFonts w:eastAsia="Times New Roman" w:cs="Times New Roman" w:ascii="Times New Roman" w:hAnsi="Times New Roman"/>
                <w:color w:val="00000A"/>
                <w:lang w:eastAsia="uk-UA"/>
              </w:rPr>
              <w:t xml:space="preserve">Поточний ремонт </w:t>
            </w:r>
            <w:r>
              <w:rPr>
                <w:rFonts w:eastAsia="Calibri" w:cs="Times New Roman" w:ascii="Times New Roman" w:hAnsi="Times New Roman"/>
                <w:color w:val="00000A"/>
              </w:rPr>
              <w:t>Роздольненського сільського будинку культури</w:t>
            </w:r>
          </w:p>
        </w:tc>
        <w:tc>
          <w:tcPr>
            <w:tcW w:w="113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2022-2024</w:t>
            </w:r>
          </w:p>
        </w:tc>
        <w:tc>
          <w:tcPr>
            <w:tcW w:w="710"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100,</w:t>
            </w:r>
          </w:p>
        </w:tc>
        <w:tc>
          <w:tcPr>
            <w:tcW w:w="711"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200</w:t>
            </w:r>
          </w:p>
        </w:tc>
        <w:tc>
          <w:tcPr>
            <w:tcW w:w="711"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200</w:t>
            </w:r>
          </w:p>
        </w:tc>
        <w:tc>
          <w:tcPr>
            <w:tcW w:w="992"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Calibri" w:cs="Calibri" w:ascii="Times New Roman" w:hAnsi="Times New Roman"/>
                <w:color w:val="00000A"/>
              </w:rPr>
              <w:t>500</w:t>
            </w:r>
          </w:p>
        </w:tc>
        <w:tc>
          <w:tcPr>
            <w:tcW w:w="95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500,0</w:t>
            </w:r>
          </w:p>
        </w:tc>
      </w:tr>
      <w:tr>
        <w:trPr>
          <w:trHeight w:val="20" w:hRule="atLeast"/>
        </w:trPr>
        <w:tc>
          <w:tcPr>
            <w:tcW w:w="41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r>
          </w:p>
        </w:tc>
        <w:tc>
          <w:tcPr>
            <w:tcW w:w="496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Normal"/>
              <w:tabs>
                <w:tab w:val="left" w:pos="317" w:leader="none"/>
              </w:tabs>
              <w:spacing w:lineRule="auto" w:line="240" w:before="0" w:after="0"/>
              <w:jc w:val="both"/>
              <w:rPr>
                <w:rFonts w:ascii="Calibri" w:hAnsi="Calibri" w:eastAsia="Calibri" w:cs="Calibri"/>
                <w:color w:val="00000A"/>
              </w:rPr>
            </w:pPr>
            <w:r>
              <w:rPr>
                <w:rFonts w:eastAsia="Times New Roman" w:cs="Times New Roman" w:ascii="Times New Roman" w:hAnsi="Times New Roman"/>
                <w:color w:val="00000A"/>
                <w:lang w:eastAsia="uk-UA"/>
              </w:rPr>
              <w:t>Поточний ремонт</w:t>
            </w:r>
            <w:r>
              <w:rPr>
                <w:rFonts w:eastAsia="Calibri" w:cs="Times New Roman" w:ascii="Times New Roman" w:hAnsi="Times New Roman"/>
                <w:color w:val="00000A"/>
              </w:rPr>
              <w:t xml:space="preserve"> сільського клубу в с.В.Україна</w:t>
            </w:r>
          </w:p>
        </w:tc>
        <w:tc>
          <w:tcPr>
            <w:tcW w:w="113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2022-2023</w:t>
            </w:r>
          </w:p>
        </w:tc>
        <w:tc>
          <w:tcPr>
            <w:tcW w:w="710"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70,0</w:t>
            </w:r>
          </w:p>
        </w:tc>
        <w:tc>
          <w:tcPr>
            <w:tcW w:w="711"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r>
          </w:p>
        </w:tc>
        <w:tc>
          <w:tcPr>
            <w:tcW w:w="711"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r>
          </w:p>
        </w:tc>
        <w:tc>
          <w:tcPr>
            <w:tcW w:w="992"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Calibri" w:cs="Calibri" w:ascii="Times New Roman" w:hAnsi="Times New Roman"/>
                <w:color w:val="00000A"/>
              </w:rPr>
              <w:t>70</w:t>
            </w:r>
          </w:p>
        </w:tc>
        <w:tc>
          <w:tcPr>
            <w:tcW w:w="95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70,0</w:t>
            </w:r>
          </w:p>
        </w:tc>
      </w:tr>
      <w:tr>
        <w:trPr>
          <w:trHeight w:val="20" w:hRule="atLeast"/>
        </w:trPr>
        <w:tc>
          <w:tcPr>
            <w:tcW w:w="41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r>
          </w:p>
        </w:tc>
        <w:tc>
          <w:tcPr>
            <w:tcW w:w="496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Normal"/>
              <w:tabs>
                <w:tab w:val="left" w:pos="317" w:leader="none"/>
              </w:tabs>
              <w:spacing w:lineRule="auto" w:line="240" w:before="0" w:after="0"/>
              <w:jc w:val="both"/>
              <w:rPr>
                <w:rFonts w:ascii="Times New Roman" w:hAnsi="Times New Roman" w:eastAsia="Calibri" w:cs="Times New Roman"/>
                <w:color w:val="00000A"/>
              </w:rPr>
            </w:pPr>
            <w:r>
              <w:rPr>
                <w:rFonts w:eastAsia="Calibri" w:cs="Times New Roman" w:ascii="Times New Roman" w:hAnsi="Times New Roman"/>
                <w:color w:val="00000A"/>
              </w:rPr>
              <w:t>Ремонт та благоустрій Чорноморівського сільського клубу</w:t>
            </w:r>
          </w:p>
        </w:tc>
        <w:tc>
          <w:tcPr>
            <w:tcW w:w="113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2022-2024</w:t>
            </w:r>
          </w:p>
        </w:tc>
        <w:tc>
          <w:tcPr>
            <w:tcW w:w="710"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Calibri" w:hAnsi="Calibri" w:eastAsia="Times New Roman" w:cs="Times New Roman"/>
                <w:color w:val="000000"/>
                <w:lang w:eastAsia="ru-RU"/>
              </w:rPr>
            </w:pPr>
            <w:r>
              <w:rPr>
                <w:rFonts w:eastAsia="Times New Roman" w:cs="Times New Roman" w:ascii="Calibri" w:hAnsi="Calibri"/>
                <w:color w:val="000000"/>
                <w:lang w:eastAsia="ru-RU"/>
              </w:rPr>
            </w:r>
          </w:p>
        </w:tc>
        <w:tc>
          <w:tcPr>
            <w:tcW w:w="711"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350,0</w:t>
            </w:r>
          </w:p>
        </w:tc>
        <w:tc>
          <w:tcPr>
            <w:tcW w:w="711"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300</w:t>
            </w:r>
          </w:p>
        </w:tc>
        <w:tc>
          <w:tcPr>
            <w:tcW w:w="992"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Calibri" w:cs="Calibri" w:ascii="Times New Roman" w:hAnsi="Times New Roman"/>
                <w:color w:val="00000A"/>
              </w:rPr>
              <w:t>650</w:t>
            </w:r>
          </w:p>
        </w:tc>
        <w:tc>
          <w:tcPr>
            <w:tcW w:w="95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Calibri" w:hAnsi="Calibri" w:eastAsia="Times New Roman" w:cs="Times New Roman"/>
                <w:color w:val="000000"/>
                <w:lang w:eastAsia="ru-RU"/>
              </w:rPr>
            </w:pPr>
            <w:r>
              <w:rPr>
                <w:rFonts w:eastAsia="Times New Roman" w:cs="Times New Roman" w:ascii="Calibri" w:hAnsi="Calibri"/>
                <w:color w:val="000000"/>
                <w:lang w:eastAsia="ru-RU"/>
              </w:rPr>
            </w:r>
          </w:p>
        </w:tc>
      </w:tr>
      <w:tr>
        <w:trPr>
          <w:trHeight w:val="20" w:hRule="atLeast"/>
        </w:trPr>
        <w:tc>
          <w:tcPr>
            <w:tcW w:w="41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r>
          </w:p>
        </w:tc>
        <w:tc>
          <w:tcPr>
            <w:tcW w:w="496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Normal"/>
              <w:tabs>
                <w:tab w:val="left" w:pos="317" w:leader="none"/>
              </w:tabs>
              <w:spacing w:lineRule="auto" w:line="240" w:before="0" w:after="0"/>
              <w:jc w:val="both"/>
              <w:rPr>
                <w:rFonts w:ascii="Times New Roman" w:hAnsi="Times New Roman" w:eastAsia="Calibri" w:cs="Times New Roman"/>
                <w:color w:val="00000A"/>
              </w:rPr>
            </w:pPr>
            <w:r>
              <w:rPr>
                <w:rFonts w:eastAsia="Calibri" w:cs="Times New Roman" w:ascii="Times New Roman" w:hAnsi="Times New Roman"/>
                <w:color w:val="00000A"/>
              </w:rPr>
              <w:t>Створення багатофункціонального Центру дозвілля для різних вікових груп в с.Коробки</w:t>
            </w:r>
          </w:p>
        </w:tc>
        <w:tc>
          <w:tcPr>
            <w:tcW w:w="113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2022-2024</w:t>
            </w:r>
          </w:p>
        </w:tc>
        <w:tc>
          <w:tcPr>
            <w:tcW w:w="710"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eastAsia="ru-RU"/>
              </w:rPr>
              <w:t>5,0</w:t>
            </w:r>
          </w:p>
        </w:tc>
        <w:tc>
          <w:tcPr>
            <w:tcW w:w="711"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eastAsia="ru-RU"/>
              </w:rPr>
              <w:t>20</w:t>
            </w:r>
          </w:p>
        </w:tc>
        <w:tc>
          <w:tcPr>
            <w:tcW w:w="711"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eastAsia="ru-RU"/>
              </w:rPr>
              <w:t>20</w:t>
            </w:r>
          </w:p>
        </w:tc>
        <w:tc>
          <w:tcPr>
            <w:tcW w:w="992"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Calibri" w:cs="Calibri" w:ascii="Times New Roman" w:hAnsi="Times New Roman"/>
                <w:color w:val="00000A"/>
              </w:rPr>
              <w:t>45</w:t>
            </w:r>
          </w:p>
        </w:tc>
        <w:tc>
          <w:tcPr>
            <w:tcW w:w="95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eastAsia="ru-RU"/>
              </w:rPr>
              <w:t>4405,0</w:t>
            </w:r>
          </w:p>
        </w:tc>
      </w:tr>
      <w:tr>
        <w:trPr>
          <w:trHeight w:val="20" w:hRule="atLeast"/>
        </w:trPr>
        <w:tc>
          <w:tcPr>
            <w:tcW w:w="41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r>
          </w:p>
        </w:tc>
        <w:tc>
          <w:tcPr>
            <w:tcW w:w="496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Normal"/>
              <w:tabs>
                <w:tab w:val="left" w:pos="317" w:leader="none"/>
              </w:tabs>
              <w:spacing w:lineRule="auto" w:line="240" w:before="0" w:after="0"/>
              <w:contextualSpacing/>
              <w:jc w:val="both"/>
              <w:rPr>
                <w:rFonts w:ascii="Times New Roman" w:hAnsi="Times New Roman" w:eastAsia="Calibri" w:cs="Times New Roman"/>
                <w:color w:val="00000A"/>
              </w:rPr>
            </w:pPr>
            <w:r>
              <w:rPr>
                <w:rFonts w:eastAsia="Calibri" w:cs="Times New Roman" w:ascii="Times New Roman" w:hAnsi="Times New Roman"/>
                <w:color w:val="00000A"/>
              </w:rPr>
              <w:t>Придбання комплекту вуличної мобільної збірно-розбірної сцени для культурно-мистецьких заходів</w:t>
            </w:r>
          </w:p>
        </w:tc>
        <w:tc>
          <w:tcPr>
            <w:tcW w:w="113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2023-2024</w:t>
            </w:r>
          </w:p>
        </w:tc>
        <w:tc>
          <w:tcPr>
            <w:tcW w:w="710"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0</w:t>
            </w:r>
          </w:p>
        </w:tc>
        <w:tc>
          <w:tcPr>
            <w:tcW w:w="711"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0</w:t>
            </w:r>
          </w:p>
        </w:tc>
        <w:tc>
          <w:tcPr>
            <w:tcW w:w="711"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600,0</w:t>
            </w:r>
          </w:p>
        </w:tc>
        <w:tc>
          <w:tcPr>
            <w:tcW w:w="992"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Calibri" w:cs="Calibri" w:ascii="Times New Roman" w:hAnsi="Times New Roman"/>
                <w:color w:val="00000A"/>
              </w:rPr>
              <w:t>600</w:t>
            </w:r>
          </w:p>
        </w:tc>
        <w:tc>
          <w:tcPr>
            <w:tcW w:w="95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eastAsia="ru-RU"/>
              </w:rPr>
              <w:t>1200</w:t>
            </w:r>
          </w:p>
        </w:tc>
      </w:tr>
      <w:tr>
        <w:trPr>
          <w:trHeight w:val="20" w:hRule="atLeast"/>
        </w:trPr>
        <w:tc>
          <w:tcPr>
            <w:tcW w:w="417" w:type="dxa"/>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r>
          </w:p>
        </w:tc>
        <w:tc>
          <w:tcPr>
            <w:tcW w:w="496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Normal"/>
              <w:tabs>
                <w:tab w:val="left" w:pos="317" w:leader="none"/>
              </w:tabs>
              <w:spacing w:lineRule="auto" w:line="240" w:before="0" w:after="0"/>
              <w:contextualSpacing/>
              <w:jc w:val="both"/>
              <w:rPr>
                <w:rFonts w:ascii="Times New Roman" w:hAnsi="Times New Roman" w:eastAsia="Calibri" w:cs="Times New Roman"/>
                <w:color w:val="00000A"/>
              </w:rPr>
            </w:pPr>
            <w:r>
              <w:rPr>
                <w:rFonts w:eastAsia="Calibri" w:cs="Times New Roman" w:ascii="Times New Roman" w:hAnsi="Times New Roman"/>
                <w:color w:val="00000A"/>
              </w:rPr>
              <w:t>Реконструкція спортивного комбінату “Олімпійський”, який включає :</w:t>
            </w:r>
          </w:p>
          <w:p>
            <w:pPr>
              <w:pStyle w:val="Normal"/>
              <w:tabs>
                <w:tab w:val="left" w:pos="317" w:leader="none"/>
              </w:tabs>
              <w:spacing w:lineRule="auto" w:line="240" w:before="0" w:after="0"/>
              <w:contextualSpacing/>
              <w:jc w:val="both"/>
              <w:rPr>
                <w:rFonts w:ascii="Times New Roman" w:hAnsi="Times New Roman" w:eastAsia="Calibri" w:cs="Times New Roman"/>
                <w:color w:val="00000A"/>
              </w:rPr>
            </w:pPr>
            <w:r>
              <w:rPr>
                <w:rFonts w:eastAsia="Calibri" w:cs="Times New Roman" w:ascii="Times New Roman" w:hAnsi="Times New Roman"/>
                <w:color w:val="00000A"/>
              </w:rPr>
              <w:t>Реконструкція спортивного залу спортивного комбінату «Олімпійський»</w:t>
            </w:r>
          </w:p>
        </w:tc>
        <w:tc>
          <w:tcPr>
            <w:tcW w:w="1134" w:type="dxa"/>
            <w:gridSpan w:val="2"/>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2022-2024</w:t>
            </w:r>
          </w:p>
        </w:tc>
        <w:tc>
          <w:tcPr>
            <w:tcW w:w="710" w:type="dxa"/>
            <w:gridSpan w:val="2"/>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500,0</w:t>
            </w:r>
          </w:p>
        </w:tc>
        <w:tc>
          <w:tcPr>
            <w:tcW w:w="711" w:type="dxa"/>
            <w:gridSpan w:val="2"/>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500,0</w:t>
            </w:r>
          </w:p>
        </w:tc>
        <w:tc>
          <w:tcPr>
            <w:tcW w:w="711" w:type="dxa"/>
            <w:gridSpan w:val="2"/>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1500,0</w:t>
            </w:r>
          </w:p>
        </w:tc>
        <w:tc>
          <w:tcPr>
            <w:tcW w:w="992" w:type="dxa"/>
            <w:gridSpan w:val="2"/>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Calibri" w:cs="Calibri" w:ascii="Times New Roman" w:hAnsi="Times New Roman"/>
                <w:color w:val="00000A"/>
              </w:rPr>
              <w:t>2500</w:t>
            </w:r>
          </w:p>
        </w:tc>
        <w:tc>
          <w:tcPr>
            <w:tcW w:w="957" w:type="dxa"/>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Calibri" w:hAnsi="Calibri" w:eastAsia="Times New Roman" w:cs="Times New Roman"/>
                <w:color w:val="000000"/>
                <w:lang w:eastAsia="ru-RU"/>
              </w:rPr>
            </w:pPr>
            <w:r>
              <w:rPr>
                <w:rFonts w:eastAsia="Times New Roman" w:cs="Times New Roman" w:ascii="Calibri" w:hAnsi="Calibri"/>
                <w:color w:val="000000"/>
                <w:lang w:eastAsia="ru-RU"/>
              </w:rPr>
            </w:r>
          </w:p>
        </w:tc>
      </w:tr>
      <w:tr>
        <w:trPr>
          <w:trHeight w:val="20" w:hRule="atLeast"/>
        </w:trPr>
        <w:tc>
          <w:tcPr>
            <w:tcW w:w="41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r>
          </w:p>
        </w:tc>
        <w:tc>
          <w:tcPr>
            <w:tcW w:w="496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Normal"/>
              <w:tabs>
                <w:tab w:val="left" w:pos="317" w:leader="none"/>
              </w:tabs>
              <w:spacing w:lineRule="auto" w:line="240" w:before="0" w:after="0"/>
              <w:contextualSpacing/>
              <w:jc w:val="both"/>
              <w:rPr>
                <w:rFonts w:ascii="Times New Roman" w:hAnsi="Times New Roman" w:eastAsia="Calibri" w:cs="Times New Roman"/>
                <w:color w:val="00000A"/>
              </w:rPr>
            </w:pPr>
            <w:r>
              <w:rPr>
                <w:rFonts w:eastAsia="Calibri" w:cs="Times New Roman" w:ascii="Times New Roman" w:hAnsi="Times New Roman"/>
                <w:color w:val="000000"/>
                <w:highlight w:val="white"/>
              </w:rPr>
              <w:t>Ремонт приміщень ДЮСШ в м.Каховка</w:t>
            </w:r>
          </w:p>
        </w:tc>
        <w:tc>
          <w:tcPr>
            <w:tcW w:w="11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2022-2023</w:t>
            </w:r>
          </w:p>
        </w:tc>
        <w:tc>
          <w:tcPr>
            <w:tcW w:w="71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eastAsia="ru-RU"/>
              </w:rPr>
              <w:t>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eastAsia="ru-RU"/>
              </w:rPr>
              <w:t>2000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eastAsia="ru-RU"/>
              </w:rPr>
              <w:t>0</w:t>
            </w:r>
          </w:p>
        </w:tc>
        <w:tc>
          <w:tcPr>
            <w:tcW w:w="99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Calibri" w:cs="Calibri" w:ascii="Times New Roman" w:hAnsi="Times New Roman"/>
                <w:color w:val="00000A"/>
              </w:rPr>
              <w:t>2000</w:t>
            </w:r>
          </w:p>
        </w:tc>
        <w:tc>
          <w:tcPr>
            <w:tcW w:w="9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eastAsia="ru-RU"/>
              </w:rPr>
              <w:t>7532</w:t>
            </w:r>
          </w:p>
        </w:tc>
      </w:tr>
      <w:tr>
        <w:trPr>
          <w:trHeight w:val="20" w:hRule="atLeast"/>
        </w:trPr>
        <w:tc>
          <w:tcPr>
            <w:tcW w:w="41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r>
          </w:p>
        </w:tc>
        <w:tc>
          <w:tcPr>
            <w:tcW w:w="496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tabs>
                <w:tab w:val="left" w:pos="317" w:leader="none"/>
              </w:tabs>
              <w:spacing w:lineRule="auto" w:line="240" w:before="0" w:after="0"/>
              <w:contextualSpacing/>
              <w:rPr>
                <w:rFonts w:ascii="Times New Roman" w:hAnsi="Times New Roman" w:eastAsia="Calibri" w:cs="Times New Roman"/>
                <w:color w:val="00000A"/>
              </w:rPr>
            </w:pPr>
            <w:r>
              <w:rPr>
                <w:rFonts w:eastAsia="Calibri" w:cs="Times New Roman" w:ascii="Times New Roman" w:hAnsi="Times New Roman"/>
                <w:color w:val="00000A"/>
                <w:highlight w:val="white"/>
              </w:rPr>
              <w:t>Будівництво багатофункціонального спортивного майданчика із штучним покриттям в с. Малокаховка</w:t>
            </w:r>
          </w:p>
        </w:tc>
        <w:tc>
          <w:tcPr>
            <w:tcW w:w="11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2022-2024</w:t>
            </w:r>
          </w:p>
        </w:tc>
        <w:tc>
          <w:tcPr>
            <w:tcW w:w="71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500,0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500,0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500,0</w:t>
            </w:r>
          </w:p>
        </w:tc>
        <w:tc>
          <w:tcPr>
            <w:tcW w:w="99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Calibri" w:cs="Calibri" w:ascii="Times New Roman" w:hAnsi="Times New Roman"/>
                <w:color w:val="00000A"/>
              </w:rPr>
              <w:t>1500</w:t>
            </w:r>
          </w:p>
        </w:tc>
        <w:tc>
          <w:tcPr>
            <w:tcW w:w="9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Calibri" w:hAnsi="Calibri" w:eastAsia="Times New Roman" w:cs="Times New Roman"/>
                <w:color w:val="000000"/>
                <w:lang w:eastAsia="ru-RU"/>
              </w:rPr>
            </w:pPr>
            <w:r>
              <w:rPr>
                <w:rFonts w:eastAsia="Times New Roman" w:cs="Times New Roman" w:ascii="Calibri" w:hAnsi="Calibri"/>
                <w:color w:val="000000"/>
                <w:lang w:eastAsia="ru-RU"/>
              </w:rPr>
            </w:r>
          </w:p>
        </w:tc>
      </w:tr>
      <w:tr>
        <w:trPr>
          <w:trHeight w:val="20" w:hRule="atLeast"/>
        </w:trPr>
        <w:tc>
          <w:tcPr>
            <w:tcW w:w="41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r>
          </w:p>
        </w:tc>
        <w:tc>
          <w:tcPr>
            <w:tcW w:w="496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tabs>
                <w:tab w:val="left" w:pos="317" w:leader="none"/>
              </w:tabs>
              <w:spacing w:lineRule="auto" w:line="240" w:before="0" w:after="0"/>
              <w:contextualSpacing/>
              <w:rPr>
                <w:rFonts w:ascii="Times New Roman" w:hAnsi="Times New Roman" w:eastAsia="Calibri" w:cs="Times New Roman"/>
                <w:color w:val="00000A"/>
              </w:rPr>
            </w:pPr>
            <w:r>
              <w:rPr>
                <w:rFonts w:eastAsia="Calibri" w:cs="Times New Roman" w:ascii="Times New Roman" w:hAnsi="Times New Roman"/>
                <w:color w:val="00000A"/>
                <w:highlight w:val="white"/>
              </w:rPr>
              <w:t>Будівництво багатофункціонального спортивного майданчика із штучним покриттям в  с.Коробки</w:t>
            </w:r>
          </w:p>
        </w:tc>
        <w:tc>
          <w:tcPr>
            <w:tcW w:w="11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2022-2024</w:t>
            </w:r>
          </w:p>
        </w:tc>
        <w:tc>
          <w:tcPr>
            <w:tcW w:w="71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eastAsia="ru-RU"/>
              </w:rPr>
              <w:t>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750,0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eastAsia="ru-RU"/>
              </w:rPr>
              <w:t>750,0</w:t>
            </w:r>
          </w:p>
        </w:tc>
        <w:tc>
          <w:tcPr>
            <w:tcW w:w="99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Calibri" w:cs="Calibri" w:ascii="Times New Roman" w:hAnsi="Times New Roman"/>
                <w:color w:val="00000A"/>
              </w:rPr>
              <w:t>1500</w:t>
            </w:r>
          </w:p>
        </w:tc>
        <w:tc>
          <w:tcPr>
            <w:tcW w:w="9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eastAsia="ru-RU"/>
              </w:rPr>
              <w:t>1500</w:t>
            </w:r>
          </w:p>
        </w:tc>
      </w:tr>
      <w:tr>
        <w:trPr>
          <w:trHeight w:val="20" w:hRule="atLeast"/>
        </w:trPr>
        <w:tc>
          <w:tcPr>
            <w:tcW w:w="41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r>
          </w:p>
        </w:tc>
        <w:tc>
          <w:tcPr>
            <w:tcW w:w="496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tabs>
                <w:tab w:val="left" w:pos="317" w:leader="none"/>
              </w:tabs>
              <w:spacing w:lineRule="auto" w:line="240" w:before="0" w:after="0"/>
              <w:ind w:left="-41" w:hanging="0"/>
              <w:jc w:val="both"/>
              <w:rPr>
                <w:rFonts w:ascii="Times New Roman" w:hAnsi="Times New Roman" w:eastAsia="Calibri" w:cs="Times New Roman"/>
                <w:color w:val="00000A"/>
              </w:rPr>
            </w:pPr>
            <w:r>
              <w:rPr>
                <w:rFonts w:eastAsia="Calibri" w:cs="Times New Roman" w:ascii="Times New Roman" w:hAnsi="Times New Roman"/>
                <w:color w:val="00000A"/>
                <w:highlight w:val="white"/>
              </w:rPr>
              <w:t>Облаштування спортивного майданчику з вуличними тренажерам в с. Вільна Україна</w:t>
            </w:r>
          </w:p>
        </w:tc>
        <w:tc>
          <w:tcPr>
            <w:tcW w:w="11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2022-2024</w:t>
            </w:r>
          </w:p>
        </w:tc>
        <w:tc>
          <w:tcPr>
            <w:tcW w:w="71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50,0</w:t>
            </w:r>
          </w:p>
        </w:tc>
        <w:tc>
          <w:tcPr>
            <w:tcW w:w="99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Calibri" w:cs="Calibri" w:ascii="Times New Roman" w:hAnsi="Times New Roman"/>
                <w:color w:val="00000A"/>
              </w:rPr>
              <w:t>50</w:t>
            </w:r>
          </w:p>
        </w:tc>
        <w:tc>
          <w:tcPr>
            <w:tcW w:w="9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Calibri" w:hAnsi="Calibri" w:eastAsia="Times New Roman" w:cs="Times New Roman"/>
                <w:color w:val="000000"/>
                <w:lang w:eastAsia="ru-RU"/>
              </w:rPr>
            </w:pPr>
            <w:r>
              <w:rPr>
                <w:rFonts w:eastAsia="Times New Roman" w:cs="Times New Roman" w:ascii="Calibri" w:hAnsi="Calibri"/>
                <w:color w:val="000000"/>
                <w:lang w:eastAsia="ru-RU"/>
              </w:rPr>
            </w:r>
          </w:p>
        </w:tc>
      </w:tr>
      <w:tr>
        <w:trPr>
          <w:trHeight w:val="20" w:hRule="atLeast"/>
        </w:trPr>
        <w:tc>
          <w:tcPr>
            <w:tcW w:w="41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r>
          </w:p>
        </w:tc>
        <w:tc>
          <w:tcPr>
            <w:tcW w:w="496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tabs>
                <w:tab w:val="left" w:pos="317" w:leader="none"/>
              </w:tabs>
              <w:spacing w:lineRule="auto" w:line="240" w:before="0" w:after="0"/>
              <w:jc w:val="both"/>
              <w:rPr>
                <w:rFonts w:ascii="Times New Roman" w:hAnsi="Times New Roman" w:eastAsia="Calibri" w:cs="Times New Roman"/>
                <w:color w:val="00000A"/>
              </w:rPr>
            </w:pPr>
            <w:r>
              <w:rPr>
                <w:rFonts w:eastAsia="Calibri" w:cs="Times New Roman" w:ascii="Times New Roman" w:hAnsi="Times New Roman"/>
                <w:color w:val="00000A"/>
                <w:highlight w:val="white"/>
              </w:rPr>
              <w:t>Облаштування спортивного майданчику з вуличними тренажерам в с. Роздольне</w:t>
            </w:r>
          </w:p>
        </w:tc>
        <w:tc>
          <w:tcPr>
            <w:tcW w:w="11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2022-2024</w:t>
            </w:r>
          </w:p>
        </w:tc>
        <w:tc>
          <w:tcPr>
            <w:tcW w:w="71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50,0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r>
          </w:p>
        </w:tc>
        <w:tc>
          <w:tcPr>
            <w:tcW w:w="99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Calibri" w:cs="Calibri" w:ascii="Times New Roman" w:hAnsi="Times New Roman"/>
                <w:color w:val="00000A"/>
              </w:rPr>
              <w:t>50</w:t>
            </w:r>
          </w:p>
        </w:tc>
        <w:tc>
          <w:tcPr>
            <w:tcW w:w="9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Calibri" w:hAnsi="Calibri" w:eastAsia="Times New Roman" w:cs="Times New Roman"/>
                <w:color w:val="000000"/>
                <w:lang w:eastAsia="ru-RU"/>
              </w:rPr>
            </w:pPr>
            <w:r>
              <w:rPr>
                <w:rFonts w:eastAsia="Times New Roman" w:cs="Times New Roman" w:ascii="Calibri" w:hAnsi="Calibri"/>
                <w:color w:val="000000"/>
                <w:lang w:eastAsia="ru-RU"/>
              </w:rPr>
            </w:r>
          </w:p>
        </w:tc>
      </w:tr>
      <w:tr>
        <w:trPr>
          <w:trHeight w:val="20" w:hRule="atLeast"/>
        </w:trPr>
        <w:tc>
          <w:tcPr>
            <w:tcW w:w="41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r>
          </w:p>
        </w:tc>
        <w:tc>
          <w:tcPr>
            <w:tcW w:w="496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tabs>
                <w:tab w:val="left" w:pos="317" w:leader="none"/>
              </w:tabs>
              <w:spacing w:lineRule="auto" w:line="240" w:before="0" w:after="0"/>
              <w:jc w:val="both"/>
              <w:rPr>
                <w:rFonts w:ascii="Times New Roman" w:hAnsi="Times New Roman" w:eastAsia="Calibri" w:cs="Times New Roman"/>
                <w:color w:val="00000A"/>
              </w:rPr>
            </w:pPr>
            <w:r>
              <w:rPr>
                <w:rFonts w:eastAsia="Calibri" w:cs="Times New Roman" w:ascii="Times New Roman" w:hAnsi="Times New Roman"/>
                <w:color w:val="00000A"/>
                <w:highlight w:val="white"/>
              </w:rPr>
              <w:t>Облаштування спортивного майданчику з вуличними тренажерам в с. Чорноморівка</w:t>
            </w:r>
          </w:p>
        </w:tc>
        <w:tc>
          <w:tcPr>
            <w:tcW w:w="11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2022-2024</w:t>
            </w:r>
          </w:p>
        </w:tc>
        <w:tc>
          <w:tcPr>
            <w:tcW w:w="71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eastAsia="ru-RU"/>
              </w:rPr>
              <w:t>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eastAsia="ru-RU"/>
              </w:rPr>
              <w:t>500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0</w:t>
            </w:r>
          </w:p>
        </w:tc>
        <w:tc>
          <w:tcPr>
            <w:tcW w:w="99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Calibri" w:cs="Calibri" w:ascii="Times New Roman" w:hAnsi="Times New Roman"/>
                <w:color w:val="00000A"/>
              </w:rPr>
              <w:t>500</w:t>
            </w:r>
          </w:p>
        </w:tc>
        <w:tc>
          <w:tcPr>
            <w:tcW w:w="9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eastAsia="ru-RU"/>
              </w:rPr>
              <w:t>1000,0</w:t>
            </w:r>
          </w:p>
        </w:tc>
      </w:tr>
      <w:tr>
        <w:trPr>
          <w:trHeight w:val="20" w:hRule="atLeast"/>
        </w:trPr>
        <w:tc>
          <w:tcPr>
            <w:tcW w:w="41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r>
          </w:p>
        </w:tc>
        <w:tc>
          <w:tcPr>
            <w:tcW w:w="496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rPr>
                <w:rFonts w:ascii="Times New Roman" w:hAnsi="Times New Roman" w:eastAsia="Times New Roman" w:cs="Times New Roman"/>
                <w:color w:val="000000"/>
                <w:lang w:eastAsia="ru-RU"/>
              </w:rPr>
            </w:pPr>
            <w:r>
              <w:rPr>
                <w:rFonts w:eastAsia="Calibri" w:cs="Times New Roman" w:ascii="Times New Roman" w:hAnsi="Times New Roman"/>
                <w:color w:val="00000A"/>
              </w:rPr>
              <w:t>Розробка Програми розвитку фізкультури та спорту в Каховській ТГ на 2023-2027 роки</w:t>
            </w:r>
          </w:p>
        </w:tc>
        <w:tc>
          <w:tcPr>
            <w:tcW w:w="11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2023-2024</w:t>
            </w:r>
          </w:p>
        </w:tc>
        <w:tc>
          <w:tcPr>
            <w:tcW w:w="71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800,0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1100</w:t>
            </w:r>
          </w:p>
        </w:tc>
        <w:tc>
          <w:tcPr>
            <w:tcW w:w="99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Calibri" w:cs="Calibri" w:ascii="Times New Roman" w:hAnsi="Times New Roman"/>
                <w:color w:val="00000A"/>
              </w:rPr>
              <w:t>1900</w:t>
            </w:r>
          </w:p>
        </w:tc>
        <w:tc>
          <w:tcPr>
            <w:tcW w:w="9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Calibri" w:hAnsi="Calibri" w:eastAsia="Times New Roman" w:cs="Times New Roman"/>
                <w:color w:val="000000"/>
                <w:lang w:eastAsia="ru-RU"/>
              </w:rPr>
            </w:pPr>
            <w:r>
              <w:rPr>
                <w:rFonts w:eastAsia="Times New Roman" w:cs="Times New Roman" w:ascii="Calibri" w:hAnsi="Calibri"/>
                <w:color w:val="000000"/>
                <w:lang w:eastAsia="ru-RU"/>
              </w:rPr>
            </w:r>
          </w:p>
        </w:tc>
      </w:tr>
      <w:tr>
        <w:trPr>
          <w:trHeight w:val="20" w:hRule="atLeast"/>
        </w:trPr>
        <w:tc>
          <w:tcPr>
            <w:tcW w:w="41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r>
          </w:p>
        </w:tc>
        <w:tc>
          <w:tcPr>
            <w:tcW w:w="496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Створення Молодіжного центру “Пульс”</w:t>
            </w:r>
          </w:p>
        </w:tc>
        <w:tc>
          <w:tcPr>
            <w:tcW w:w="11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2022-2024</w:t>
            </w:r>
          </w:p>
        </w:tc>
        <w:tc>
          <w:tcPr>
            <w:tcW w:w="71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eastAsia="ru-RU"/>
              </w:rPr>
              <w:t>100,0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100,0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100,0</w:t>
            </w:r>
          </w:p>
        </w:tc>
        <w:tc>
          <w:tcPr>
            <w:tcW w:w="99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Calibri" w:cs="Calibri" w:ascii="Times New Roman" w:hAnsi="Times New Roman"/>
                <w:color w:val="00000A"/>
              </w:rPr>
              <w:t>300</w:t>
            </w:r>
          </w:p>
        </w:tc>
        <w:tc>
          <w:tcPr>
            <w:tcW w:w="9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eastAsia="ru-RU"/>
              </w:rPr>
              <w:t>650</w:t>
            </w:r>
          </w:p>
        </w:tc>
      </w:tr>
      <w:tr>
        <w:trPr>
          <w:trHeight w:val="20" w:hRule="atLeast"/>
        </w:trPr>
        <w:tc>
          <w:tcPr>
            <w:tcW w:w="41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r>
          </w:p>
        </w:tc>
        <w:tc>
          <w:tcPr>
            <w:tcW w:w="496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Створення відкритого молодіжного "Простору вільного спілкування"</w:t>
            </w:r>
          </w:p>
        </w:tc>
        <w:tc>
          <w:tcPr>
            <w:tcW w:w="11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2022-2024</w:t>
            </w:r>
          </w:p>
        </w:tc>
        <w:tc>
          <w:tcPr>
            <w:tcW w:w="71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eastAsia="ru-RU"/>
              </w:rPr>
              <w:t>0,0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50,0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50,0</w:t>
            </w:r>
          </w:p>
        </w:tc>
        <w:tc>
          <w:tcPr>
            <w:tcW w:w="99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Calibri" w:cs="Calibri" w:ascii="Times New Roman" w:hAnsi="Times New Roman"/>
                <w:color w:val="00000A"/>
              </w:rPr>
              <w:t>100</w:t>
            </w:r>
          </w:p>
        </w:tc>
        <w:tc>
          <w:tcPr>
            <w:tcW w:w="9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eastAsia="ru-RU"/>
              </w:rPr>
              <w:t>100,0</w:t>
            </w:r>
          </w:p>
        </w:tc>
      </w:tr>
      <w:tr>
        <w:trPr>
          <w:trHeight w:val="20" w:hRule="atLeast"/>
        </w:trPr>
        <w:tc>
          <w:tcPr>
            <w:tcW w:w="41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r>
          </w:p>
        </w:tc>
        <w:tc>
          <w:tcPr>
            <w:tcW w:w="496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Участь у заходах Програми USAID “Мріємо та діємо”</w:t>
            </w:r>
          </w:p>
        </w:tc>
        <w:tc>
          <w:tcPr>
            <w:tcW w:w="11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2022-2024</w:t>
            </w:r>
          </w:p>
        </w:tc>
        <w:tc>
          <w:tcPr>
            <w:tcW w:w="71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eastAsia="ru-RU"/>
              </w:rPr>
              <w:t>0,0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eastAsia="ru-RU"/>
              </w:rPr>
              <w:t>0,0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eastAsia="ru-RU"/>
              </w:rPr>
              <w:t>0,0</w:t>
            </w:r>
          </w:p>
        </w:tc>
        <w:tc>
          <w:tcPr>
            <w:tcW w:w="99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Calibri" w:cs="Calibri" w:ascii="Times New Roman" w:hAnsi="Times New Roman"/>
                <w:color w:val="00000A"/>
              </w:rPr>
              <w:t>0</w:t>
            </w:r>
          </w:p>
        </w:tc>
        <w:tc>
          <w:tcPr>
            <w:tcW w:w="9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eastAsia="ru-RU"/>
              </w:rPr>
              <w:t>2000,0</w:t>
            </w:r>
          </w:p>
        </w:tc>
      </w:tr>
      <w:tr>
        <w:trPr>
          <w:trHeight w:val="20" w:hRule="atLeast"/>
        </w:trPr>
        <w:tc>
          <w:tcPr>
            <w:tcW w:w="41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r>
          </w:p>
        </w:tc>
        <w:tc>
          <w:tcPr>
            <w:tcW w:w="496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Конкурс молодіжних проєктів та програм на отримання муніципальних грантів</w:t>
            </w:r>
          </w:p>
        </w:tc>
        <w:tc>
          <w:tcPr>
            <w:tcW w:w="11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2022-2024</w:t>
            </w:r>
          </w:p>
        </w:tc>
        <w:tc>
          <w:tcPr>
            <w:tcW w:w="71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45,0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50,0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60,0</w:t>
            </w:r>
          </w:p>
        </w:tc>
        <w:tc>
          <w:tcPr>
            <w:tcW w:w="99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Calibri" w:cs="Calibri" w:ascii="Times New Roman" w:hAnsi="Times New Roman"/>
                <w:color w:val="00000A"/>
              </w:rPr>
              <w:t>155</w:t>
            </w:r>
          </w:p>
        </w:tc>
        <w:tc>
          <w:tcPr>
            <w:tcW w:w="9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Calibri" w:hAnsi="Calibri" w:eastAsia="Times New Roman" w:cs="Times New Roman"/>
                <w:color w:val="000000"/>
                <w:lang w:eastAsia="ru-RU"/>
              </w:rPr>
            </w:pPr>
            <w:r>
              <w:rPr>
                <w:rFonts w:eastAsia="Times New Roman" w:cs="Times New Roman" w:ascii="Calibri" w:hAnsi="Calibri"/>
                <w:color w:val="000000"/>
                <w:lang w:eastAsia="ru-RU"/>
              </w:rPr>
            </w:r>
          </w:p>
        </w:tc>
      </w:tr>
      <w:tr>
        <w:trPr>
          <w:trHeight w:val="20" w:hRule="atLeast"/>
        </w:trPr>
        <w:tc>
          <w:tcPr>
            <w:tcW w:w="41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r>
          </w:p>
        </w:tc>
        <w:tc>
          <w:tcPr>
            <w:tcW w:w="496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Розробка, затвердження та реалізація заходів місцевих програм з розвитку молодіжної політики 2022-2026 р</w:t>
            </w:r>
          </w:p>
        </w:tc>
        <w:tc>
          <w:tcPr>
            <w:tcW w:w="11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2022-2026</w:t>
            </w:r>
          </w:p>
        </w:tc>
        <w:tc>
          <w:tcPr>
            <w:tcW w:w="71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173,0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200,0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250,0</w:t>
            </w:r>
          </w:p>
        </w:tc>
        <w:tc>
          <w:tcPr>
            <w:tcW w:w="99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Calibri" w:cs="Calibri" w:ascii="Times New Roman" w:hAnsi="Times New Roman"/>
                <w:color w:val="00000A"/>
              </w:rPr>
              <w:t>623</w:t>
            </w:r>
          </w:p>
        </w:tc>
        <w:tc>
          <w:tcPr>
            <w:tcW w:w="9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Calibri" w:hAnsi="Calibri" w:eastAsia="Times New Roman" w:cs="Times New Roman"/>
                <w:color w:val="000000"/>
                <w:lang w:eastAsia="ru-RU"/>
              </w:rPr>
            </w:pPr>
            <w:r>
              <w:rPr>
                <w:rFonts w:eastAsia="Times New Roman" w:cs="Times New Roman" w:ascii="Calibri" w:hAnsi="Calibri"/>
                <w:color w:val="000000"/>
                <w:lang w:eastAsia="ru-RU"/>
              </w:rPr>
            </w:r>
          </w:p>
        </w:tc>
      </w:tr>
      <w:tr>
        <w:trPr>
          <w:trHeight w:val="20" w:hRule="atLeast"/>
        </w:trPr>
        <w:tc>
          <w:tcPr>
            <w:tcW w:w="41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r>
          </w:p>
        </w:tc>
        <w:tc>
          <w:tcPr>
            <w:tcW w:w="496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Розробка, затвердження та реалізація заходів місцевої програми з питань розвитку українського козацтва 2022-2026 р</w:t>
            </w:r>
          </w:p>
        </w:tc>
        <w:tc>
          <w:tcPr>
            <w:tcW w:w="11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2022–2026</w:t>
            </w:r>
          </w:p>
        </w:tc>
        <w:tc>
          <w:tcPr>
            <w:tcW w:w="71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30,0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45,0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60,0</w:t>
            </w:r>
          </w:p>
        </w:tc>
        <w:tc>
          <w:tcPr>
            <w:tcW w:w="99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Calibri" w:cs="Calibri" w:ascii="Times New Roman" w:hAnsi="Times New Roman"/>
                <w:color w:val="00000A"/>
              </w:rPr>
              <w:t>135</w:t>
            </w:r>
          </w:p>
        </w:tc>
        <w:tc>
          <w:tcPr>
            <w:tcW w:w="9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Calibri" w:hAnsi="Calibri" w:eastAsia="Times New Roman" w:cs="Times New Roman"/>
                <w:color w:val="000000"/>
                <w:lang w:val="ru-RU" w:eastAsia="ru-RU"/>
              </w:rPr>
            </w:pPr>
            <w:r>
              <w:rPr>
                <w:rFonts w:eastAsia="Times New Roman" w:cs="Times New Roman" w:ascii="Calibri" w:hAnsi="Calibri"/>
                <w:color w:val="000000"/>
                <w:lang w:val="ru-RU" w:eastAsia="ru-RU"/>
              </w:rPr>
            </w:r>
          </w:p>
        </w:tc>
      </w:tr>
      <w:tr>
        <w:trPr>
          <w:trHeight w:val="20" w:hRule="atLeast"/>
        </w:trPr>
        <w:tc>
          <w:tcPr>
            <w:tcW w:w="41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496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tabs>
                <w:tab w:val="left" w:pos="317" w:leader="none"/>
              </w:tabs>
              <w:spacing w:lineRule="auto" w:line="240" w:before="0" w:after="0"/>
              <w:contextualSpacing/>
              <w:rPr>
                <w:rFonts w:ascii="Times New Roman" w:hAnsi="Times New Roman" w:eastAsia="Times New Roman" w:cs="Times New Roman"/>
                <w:color w:val="000000"/>
                <w:lang w:eastAsia="ru-RU"/>
              </w:rPr>
            </w:pPr>
            <w:r>
              <w:rPr>
                <w:rFonts w:eastAsia="Calibri" w:cs="Times New Roman" w:ascii="Times New Roman" w:hAnsi="Times New Roman"/>
                <w:color w:val="00000A"/>
                <w:highlight w:val="white"/>
              </w:rPr>
              <w:t>Впровадження публічних консультацій</w:t>
            </w:r>
          </w:p>
        </w:tc>
        <w:tc>
          <w:tcPr>
            <w:tcW w:w="11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2022-2024</w:t>
            </w:r>
          </w:p>
        </w:tc>
        <w:tc>
          <w:tcPr>
            <w:tcW w:w="71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1,5</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1,5</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0</w:t>
            </w:r>
          </w:p>
        </w:tc>
        <w:tc>
          <w:tcPr>
            <w:tcW w:w="99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Calibri" w:cs="Calibri" w:ascii="Times New Roman" w:hAnsi="Times New Roman"/>
                <w:color w:val="00000A"/>
              </w:rPr>
              <w:t>3</w:t>
            </w:r>
          </w:p>
        </w:tc>
        <w:tc>
          <w:tcPr>
            <w:tcW w:w="9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Calibri" w:hAnsi="Calibri" w:eastAsia="Times New Roman" w:cs="Times New Roman"/>
                <w:color w:val="000000"/>
                <w:lang w:val="ru-RU" w:eastAsia="ru-RU"/>
              </w:rPr>
            </w:pPr>
            <w:r>
              <w:rPr>
                <w:rFonts w:eastAsia="Times New Roman" w:cs="Times New Roman" w:ascii="Calibri" w:hAnsi="Calibri"/>
                <w:color w:val="000000"/>
                <w:lang w:val="ru-RU" w:eastAsia="ru-RU"/>
              </w:rPr>
            </w:r>
          </w:p>
        </w:tc>
      </w:tr>
      <w:tr>
        <w:trPr>
          <w:trHeight w:val="20" w:hRule="atLeast"/>
        </w:trPr>
        <w:tc>
          <w:tcPr>
            <w:tcW w:w="41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496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rPr>
                <w:rFonts w:ascii="Times New Roman" w:hAnsi="Times New Roman" w:eastAsia="Times New Roman" w:cs="Times New Roman"/>
                <w:color w:val="000000"/>
                <w:lang w:eastAsia="ru-RU"/>
              </w:rPr>
            </w:pPr>
            <w:r>
              <w:rPr>
                <w:rFonts w:eastAsia="Calibri" w:cs="Times New Roman" w:ascii="Times New Roman" w:hAnsi="Times New Roman"/>
                <w:color w:val="00000A"/>
                <w:highlight w:val="white"/>
              </w:rPr>
              <w:t>Реалізація проектів бюджету участі</w:t>
            </w:r>
          </w:p>
        </w:tc>
        <w:tc>
          <w:tcPr>
            <w:tcW w:w="11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2022-2024</w:t>
            </w:r>
          </w:p>
        </w:tc>
        <w:tc>
          <w:tcPr>
            <w:tcW w:w="71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250,0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250,0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250,0</w:t>
            </w:r>
          </w:p>
        </w:tc>
        <w:tc>
          <w:tcPr>
            <w:tcW w:w="99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Calibri" w:cs="Calibri" w:ascii="Times New Roman" w:hAnsi="Times New Roman"/>
                <w:color w:val="00000A"/>
              </w:rPr>
              <w:t>750</w:t>
            </w:r>
          </w:p>
        </w:tc>
        <w:tc>
          <w:tcPr>
            <w:tcW w:w="9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Calibri" w:hAnsi="Calibri" w:eastAsia="Times New Roman" w:cs="Times New Roman"/>
                <w:color w:val="000000"/>
                <w:lang w:val="ru-RU" w:eastAsia="ru-RU"/>
              </w:rPr>
            </w:pPr>
            <w:r>
              <w:rPr>
                <w:rFonts w:eastAsia="Times New Roman" w:cs="Times New Roman" w:ascii="Calibri" w:hAnsi="Calibri"/>
                <w:color w:val="000000"/>
                <w:lang w:val="ru-RU" w:eastAsia="ru-RU"/>
              </w:rPr>
            </w:r>
          </w:p>
        </w:tc>
      </w:tr>
      <w:tr>
        <w:trPr>
          <w:trHeight w:val="20" w:hRule="atLeast"/>
        </w:trPr>
        <w:tc>
          <w:tcPr>
            <w:tcW w:w="41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496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tabs>
                <w:tab w:val="left" w:pos="317" w:leader="none"/>
              </w:tabs>
              <w:spacing w:lineRule="auto" w:line="240" w:before="0" w:after="0"/>
              <w:ind w:left="57" w:hanging="0"/>
              <w:contextualSpacing/>
              <w:rPr>
                <w:rFonts w:ascii="Times New Roman" w:hAnsi="Times New Roman" w:eastAsia="Calibri" w:cs="Calibri"/>
                <w:color w:val="00000A"/>
              </w:rPr>
            </w:pPr>
            <w:r>
              <w:rPr>
                <w:rFonts w:eastAsia="Calibri" w:cs="Calibri" w:ascii="Times New Roman" w:hAnsi="Times New Roman"/>
                <w:color w:val="00000A"/>
              </w:rPr>
              <w:t>Фінансування послуги “Компенсація фізичним особам, які надають соціальні послуги з догляду на непрофесійній основі”</w:t>
            </w:r>
          </w:p>
        </w:tc>
        <w:tc>
          <w:tcPr>
            <w:tcW w:w="11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Calibri" w:hAnsi="Calibri" w:eastAsia="Calibri" w:cs="Calibri"/>
                <w:color w:val="00000A"/>
              </w:rPr>
            </w:pPr>
            <w:r>
              <w:rPr>
                <w:rFonts w:eastAsia="Calibri" w:cs="Calibri" w:ascii="Calibri" w:hAnsi="Calibri"/>
                <w:color w:val="00000A"/>
              </w:rPr>
              <w:t>2022-2024</w:t>
            </w:r>
          </w:p>
        </w:tc>
        <w:tc>
          <w:tcPr>
            <w:tcW w:w="71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Calibri" w:cs="Calibri" w:ascii="Times New Roman" w:hAnsi="Times New Roman"/>
                <w:color w:val="00000A"/>
              </w:rPr>
              <w:t>900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Calibri" w:cs="Calibri" w:ascii="Times New Roman" w:hAnsi="Times New Roman"/>
                <w:color w:val="00000A"/>
              </w:rPr>
              <w:t>1100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Calibri" w:cs="Calibri" w:ascii="Times New Roman" w:hAnsi="Times New Roman"/>
                <w:color w:val="00000A"/>
              </w:rPr>
              <w:t>1300</w:t>
            </w:r>
          </w:p>
        </w:tc>
        <w:tc>
          <w:tcPr>
            <w:tcW w:w="99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Calibri" w:cs="Calibri" w:ascii="Times New Roman" w:hAnsi="Times New Roman"/>
                <w:color w:val="00000A"/>
              </w:rPr>
              <w:t>3300</w:t>
            </w:r>
          </w:p>
        </w:tc>
        <w:tc>
          <w:tcPr>
            <w:tcW w:w="9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Calibri" w:cs="Calibri" w:ascii="Times New Roman" w:hAnsi="Times New Roman"/>
                <w:color w:val="00000A"/>
              </w:rPr>
            </w:r>
          </w:p>
        </w:tc>
      </w:tr>
      <w:tr>
        <w:trPr>
          <w:trHeight w:val="20" w:hRule="atLeast"/>
        </w:trPr>
        <w:tc>
          <w:tcPr>
            <w:tcW w:w="41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496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Доступність будівель і приміщень для людей з інвалідністю та інших маломобільних груп населення</w:t>
            </w:r>
          </w:p>
          <w:p>
            <w:pPr>
              <w:pStyle w:val="Normal"/>
              <w:spacing w:lineRule="auto" w:line="240" w:before="0" w:after="0"/>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 облицювання шкільного порогу та встановлення поручнів в Чорноморівській гімназії</w:t>
            </w:r>
          </w:p>
        </w:tc>
        <w:tc>
          <w:tcPr>
            <w:tcW w:w="11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2022-2024</w:t>
            </w:r>
          </w:p>
        </w:tc>
        <w:tc>
          <w:tcPr>
            <w:tcW w:w="71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50,0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99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Calibri" w:cs="Calibri" w:ascii="Times New Roman" w:hAnsi="Times New Roman"/>
                <w:color w:val="00000A"/>
              </w:rPr>
              <w:t>50</w:t>
            </w:r>
          </w:p>
        </w:tc>
        <w:tc>
          <w:tcPr>
            <w:tcW w:w="9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Calibri" w:hAnsi="Calibri" w:eastAsia="Times New Roman" w:cs="Times New Roman"/>
                <w:color w:val="000000"/>
                <w:lang w:val="ru-RU" w:eastAsia="ru-RU"/>
              </w:rPr>
            </w:pPr>
            <w:r>
              <w:rPr>
                <w:rFonts w:eastAsia="Times New Roman" w:cs="Times New Roman" w:ascii="Calibri" w:hAnsi="Calibri"/>
                <w:color w:val="000000"/>
                <w:lang w:val="ru-RU" w:eastAsia="ru-RU"/>
              </w:rPr>
            </w:r>
          </w:p>
        </w:tc>
      </w:tr>
      <w:tr>
        <w:trPr>
          <w:trHeight w:val="20" w:hRule="atLeast"/>
        </w:trPr>
        <w:tc>
          <w:tcPr>
            <w:tcW w:w="41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496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Придбання та встановлення камер відеоспостереження 23шт:</w:t>
            </w:r>
          </w:p>
          <w:p>
            <w:pPr>
              <w:pStyle w:val="Normal"/>
              <w:spacing w:lineRule="auto" w:line="240" w:before="0" w:after="0"/>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 по старостинським округам</w:t>
            </w:r>
          </w:p>
          <w:p>
            <w:pPr>
              <w:pStyle w:val="Normal"/>
              <w:spacing w:lineRule="auto" w:line="240" w:before="0" w:after="0"/>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 по історико-культурним об’єктам</w:t>
            </w:r>
          </w:p>
        </w:tc>
        <w:tc>
          <w:tcPr>
            <w:tcW w:w="11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2022-2024</w:t>
            </w:r>
          </w:p>
        </w:tc>
        <w:tc>
          <w:tcPr>
            <w:tcW w:w="71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300,0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300,0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99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Calibri" w:cs="Calibri" w:ascii="Times New Roman" w:hAnsi="Times New Roman"/>
                <w:color w:val="00000A"/>
              </w:rPr>
              <w:t>600</w:t>
            </w:r>
          </w:p>
        </w:tc>
        <w:tc>
          <w:tcPr>
            <w:tcW w:w="9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Calibri" w:hAnsi="Calibri" w:eastAsia="Times New Roman" w:cs="Times New Roman"/>
                <w:color w:val="000000"/>
                <w:lang w:val="ru-RU" w:eastAsia="ru-RU"/>
              </w:rPr>
            </w:pPr>
            <w:r>
              <w:rPr>
                <w:rFonts w:eastAsia="Times New Roman" w:cs="Times New Roman" w:ascii="Calibri" w:hAnsi="Calibri"/>
                <w:color w:val="000000"/>
                <w:lang w:val="ru-RU" w:eastAsia="ru-RU"/>
              </w:rPr>
            </w:r>
          </w:p>
        </w:tc>
      </w:tr>
      <w:tr>
        <w:trPr>
          <w:trHeight w:val="20" w:hRule="atLeast"/>
        </w:trPr>
        <w:tc>
          <w:tcPr>
            <w:tcW w:w="41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496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Регламентні роботи по обстеженню та поточному ремонту трансформаторів току в с.Роздольне»</w:t>
            </w:r>
          </w:p>
        </w:tc>
        <w:tc>
          <w:tcPr>
            <w:tcW w:w="11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2022-2024</w:t>
            </w:r>
          </w:p>
        </w:tc>
        <w:tc>
          <w:tcPr>
            <w:tcW w:w="71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370,0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99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val="ru-RU" w:eastAsia="ru-RU"/>
              </w:rPr>
              <w:t>370,0</w:t>
            </w:r>
          </w:p>
        </w:tc>
        <w:tc>
          <w:tcPr>
            <w:tcW w:w="9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Calibri" w:hAnsi="Calibri" w:eastAsia="Times New Roman" w:cs="Times New Roman"/>
                <w:color w:val="000000"/>
                <w:lang w:val="ru-RU" w:eastAsia="ru-RU"/>
              </w:rPr>
            </w:pPr>
            <w:r>
              <w:rPr>
                <w:rFonts w:eastAsia="Times New Roman" w:cs="Times New Roman" w:ascii="Calibri" w:hAnsi="Calibri"/>
                <w:color w:val="000000"/>
                <w:lang w:val="ru-RU" w:eastAsia="ru-RU"/>
              </w:rPr>
            </w:r>
          </w:p>
        </w:tc>
      </w:tr>
      <w:tr>
        <w:trPr>
          <w:trHeight w:val="20" w:hRule="atLeast"/>
        </w:trPr>
        <w:tc>
          <w:tcPr>
            <w:tcW w:w="41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496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Освітлення вулиць в с.Коробки</w:t>
            </w:r>
          </w:p>
        </w:tc>
        <w:tc>
          <w:tcPr>
            <w:tcW w:w="11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2022-2024</w:t>
            </w:r>
          </w:p>
        </w:tc>
        <w:tc>
          <w:tcPr>
            <w:tcW w:w="71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250,0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250,0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99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val="ru-RU" w:eastAsia="ru-RU"/>
              </w:rPr>
              <w:t>500,0</w:t>
            </w:r>
          </w:p>
        </w:tc>
        <w:tc>
          <w:tcPr>
            <w:tcW w:w="9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Calibri" w:hAnsi="Calibri" w:eastAsia="Times New Roman" w:cs="Times New Roman"/>
                <w:color w:val="000000"/>
                <w:lang w:val="ru-RU" w:eastAsia="ru-RU"/>
              </w:rPr>
            </w:pPr>
            <w:r>
              <w:rPr>
                <w:rFonts w:eastAsia="Times New Roman" w:cs="Times New Roman" w:ascii="Calibri" w:hAnsi="Calibri"/>
                <w:color w:val="000000"/>
                <w:lang w:val="ru-RU" w:eastAsia="ru-RU"/>
              </w:rPr>
            </w:r>
          </w:p>
        </w:tc>
      </w:tr>
      <w:tr>
        <w:trPr>
          <w:trHeight w:val="20" w:hRule="atLeast"/>
        </w:trPr>
        <w:tc>
          <w:tcPr>
            <w:tcW w:w="41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496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Освітлення вулиць в с.Чорноморівка</w:t>
            </w:r>
          </w:p>
        </w:tc>
        <w:tc>
          <w:tcPr>
            <w:tcW w:w="11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2022-2024</w:t>
            </w:r>
          </w:p>
        </w:tc>
        <w:tc>
          <w:tcPr>
            <w:tcW w:w="71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150,0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150,0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99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val="ru-RU" w:eastAsia="ru-RU"/>
              </w:rPr>
              <w:t>300,0</w:t>
            </w:r>
          </w:p>
        </w:tc>
        <w:tc>
          <w:tcPr>
            <w:tcW w:w="9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Calibri" w:hAnsi="Calibri" w:eastAsia="Times New Roman" w:cs="Times New Roman"/>
                <w:color w:val="000000"/>
                <w:lang w:val="ru-RU" w:eastAsia="ru-RU"/>
              </w:rPr>
            </w:pPr>
            <w:r>
              <w:rPr>
                <w:rFonts w:eastAsia="Times New Roman" w:cs="Times New Roman" w:ascii="Calibri" w:hAnsi="Calibri"/>
                <w:color w:val="000000"/>
                <w:lang w:val="ru-RU" w:eastAsia="ru-RU"/>
              </w:rPr>
            </w:r>
          </w:p>
        </w:tc>
      </w:tr>
      <w:tr>
        <w:trPr>
          <w:trHeight w:val="20" w:hRule="atLeast"/>
        </w:trPr>
        <w:tc>
          <w:tcPr>
            <w:tcW w:w="41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496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Будівництво освітлення вулиць в с. Роздольне</w:t>
            </w:r>
          </w:p>
        </w:tc>
        <w:tc>
          <w:tcPr>
            <w:tcW w:w="11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2022-2024</w:t>
            </w:r>
          </w:p>
        </w:tc>
        <w:tc>
          <w:tcPr>
            <w:tcW w:w="71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524,5</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280,0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200,0</w:t>
            </w:r>
          </w:p>
        </w:tc>
        <w:tc>
          <w:tcPr>
            <w:tcW w:w="99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val="ru-RU" w:eastAsia="ru-RU"/>
              </w:rPr>
              <w:t>1004,46</w:t>
            </w:r>
          </w:p>
        </w:tc>
        <w:tc>
          <w:tcPr>
            <w:tcW w:w="9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Calibri" w:hAnsi="Calibri" w:eastAsia="Times New Roman" w:cs="Times New Roman"/>
                <w:color w:val="000000"/>
                <w:lang w:val="ru-RU" w:eastAsia="ru-RU"/>
              </w:rPr>
            </w:pPr>
            <w:r>
              <w:rPr>
                <w:rFonts w:eastAsia="Times New Roman" w:cs="Times New Roman" w:ascii="Calibri" w:hAnsi="Calibri"/>
                <w:color w:val="000000"/>
                <w:lang w:val="ru-RU" w:eastAsia="ru-RU"/>
              </w:rPr>
            </w:r>
          </w:p>
        </w:tc>
      </w:tr>
      <w:tr>
        <w:trPr>
          <w:trHeight w:val="20" w:hRule="atLeast"/>
        </w:trPr>
        <w:tc>
          <w:tcPr>
            <w:tcW w:w="41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496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Встановлення громадських вбиралень по територіальній громаді (місто Каховка та старостати)</w:t>
            </w:r>
          </w:p>
        </w:tc>
        <w:tc>
          <w:tcPr>
            <w:tcW w:w="11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2022-2024</w:t>
            </w:r>
          </w:p>
        </w:tc>
        <w:tc>
          <w:tcPr>
            <w:tcW w:w="71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99,0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100,0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99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val="ru-RU" w:eastAsia="ru-RU"/>
              </w:rPr>
              <w:t>199,0</w:t>
            </w:r>
          </w:p>
        </w:tc>
        <w:tc>
          <w:tcPr>
            <w:tcW w:w="9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Calibri" w:hAnsi="Calibri" w:eastAsia="Times New Roman" w:cs="Times New Roman"/>
                <w:color w:val="000000"/>
                <w:lang w:val="ru-RU" w:eastAsia="ru-RU"/>
              </w:rPr>
            </w:pPr>
            <w:r>
              <w:rPr>
                <w:rFonts w:eastAsia="Times New Roman" w:cs="Times New Roman" w:ascii="Calibri" w:hAnsi="Calibri"/>
                <w:color w:val="000000"/>
                <w:lang w:val="ru-RU" w:eastAsia="ru-RU"/>
              </w:rPr>
            </w:r>
          </w:p>
        </w:tc>
      </w:tr>
      <w:tr>
        <w:trPr>
          <w:trHeight w:val="20" w:hRule="atLeast"/>
        </w:trPr>
        <w:tc>
          <w:tcPr>
            <w:tcW w:w="41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496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rPr>
                <w:rFonts w:ascii="Calibri" w:hAnsi="Calibri" w:eastAsia="Calibri" w:cs="Calibri"/>
                <w:color w:val="00000A"/>
              </w:rPr>
            </w:pPr>
            <w:r>
              <w:rPr>
                <w:rFonts w:eastAsia="Times New Roman" w:cs="Times New Roman" w:ascii="Times New Roman" w:hAnsi="Times New Roman"/>
                <w:color w:val="000000"/>
                <w:lang w:eastAsia="ru-RU"/>
              </w:rPr>
              <w:t>Оновлення експертних звітів по об’єктам:</w:t>
            </w:r>
          </w:p>
          <w:p>
            <w:pPr>
              <w:pStyle w:val="Normal"/>
              <w:spacing w:lineRule="auto" w:line="240" w:before="0" w:after="0"/>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реконструкція вул. Миру, проекту Реконструкція площі біля МПК Меліоратор" в м. Каховка)</w:t>
            </w:r>
          </w:p>
        </w:tc>
        <w:tc>
          <w:tcPr>
            <w:tcW w:w="11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tcPr>
          <w:p>
            <w:pPr>
              <w:pStyle w:val="Normal"/>
              <w:spacing w:lineRule="auto" w:line="240" w:before="0" w:after="0"/>
              <w:jc w:val="both"/>
              <w:rPr>
                <w:rFonts w:ascii="Times New Roman" w:hAnsi="Times New Roman" w:eastAsia="Times New Roman" w:cs="Times New Roman"/>
                <w:color w:val="000000"/>
                <w:highlight w:val="yellow"/>
                <w:lang w:val="ru-RU" w:eastAsia="ru-RU"/>
              </w:rPr>
            </w:pPr>
            <w:r>
              <w:rPr>
                <w:rFonts w:eastAsia="Times New Roman" w:cs="Times New Roman" w:ascii="Times New Roman" w:hAnsi="Times New Roman"/>
                <w:color w:val="000000"/>
                <w:highlight w:val="white"/>
                <w:lang w:val="ru-RU" w:eastAsia="ru-RU"/>
              </w:rPr>
              <w:t>2022-2024</w:t>
            </w:r>
          </w:p>
        </w:tc>
        <w:tc>
          <w:tcPr>
            <w:tcW w:w="71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tcPr>
          <w:p>
            <w:pPr>
              <w:pStyle w:val="Normal"/>
              <w:spacing w:lineRule="auto" w:line="240" w:before="0" w:after="0"/>
              <w:jc w:val="both"/>
              <w:rPr>
                <w:rFonts w:ascii="Times New Roman" w:hAnsi="Times New Roman" w:eastAsia="Times New Roman" w:cs="Times New Roman"/>
                <w:color w:val="000000"/>
                <w:highlight w:val="yellow"/>
                <w:lang w:val="ru-RU" w:eastAsia="ru-RU"/>
              </w:rPr>
            </w:pPr>
            <w:r>
              <w:rPr>
                <w:rFonts w:eastAsia="Times New Roman" w:cs="Times New Roman" w:ascii="Times New Roman" w:hAnsi="Times New Roman"/>
                <w:color w:val="000000"/>
                <w:highlight w:val="white"/>
                <w:lang w:val="ru-RU" w:eastAsia="ru-RU"/>
              </w:rPr>
              <w:t>45,0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tcPr>
          <w:p>
            <w:pPr>
              <w:pStyle w:val="Normal"/>
              <w:spacing w:lineRule="auto" w:line="240" w:before="0" w:after="0"/>
              <w:jc w:val="both"/>
              <w:rPr>
                <w:rFonts w:ascii="Times New Roman" w:hAnsi="Times New Roman" w:eastAsia="Times New Roman" w:cs="Times New Roman"/>
                <w:color w:val="000000"/>
                <w:highlight w:val="yellow"/>
                <w:lang w:val="ru-RU" w:eastAsia="ru-RU"/>
              </w:rPr>
            </w:pPr>
            <w:r>
              <w:rPr>
                <w:rFonts w:eastAsia="Times New Roman" w:cs="Times New Roman" w:ascii="Times New Roman" w:hAnsi="Times New Roman"/>
                <w:color w:val="000000"/>
                <w:highlight w:val="white"/>
                <w:lang w:val="ru-RU" w:eastAsia="ru-RU"/>
              </w:rPr>
              <w:t>40,0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tcPr>
          <w:p>
            <w:pPr>
              <w:pStyle w:val="Normal"/>
              <w:spacing w:lineRule="auto" w:line="240" w:before="0" w:after="0"/>
              <w:jc w:val="both"/>
              <w:rPr>
                <w:rFonts w:ascii="Times New Roman" w:hAnsi="Times New Roman" w:eastAsia="Times New Roman" w:cs="Times New Roman"/>
                <w:color w:val="000000"/>
                <w:highlight w:val="yellow"/>
                <w:lang w:val="ru-RU" w:eastAsia="ru-RU"/>
              </w:rPr>
            </w:pPr>
            <w:r>
              <w:rPr>
                <w:rFonts w:eastAsia="Times New Roman" w:cs="Times New Roman" w:ascii="Times New Roman" w:hAnsi="Times New Roman"/>
                <w:color w:val="000000"/>
                <w:highlight w:val="white"/>
                <w:lang w:val="ru-RU" w:eastAsia="ru-RU"/>
              </w:rPr>
              <w:t>0</w:t>
            </w:r>
          </w:p>
        </w:tc>
        <w:tc>
          <w:tcPr>
            <w:tcW w:w="99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tcPr>
          <w:p>
            <w:pPr>
              <w:pStyle w:val="Normal"/>
              <w:spacing w:lineRule="auto" w:line="240" w:before="0" w:after="0"/>
              <w:jc w:val="both"/>
              <w:rPr>
                <w:rFonts w:ascii="Times New Roman" w:hAnsi="Times New Roman" w:eastAsia="Calibri" w:cs="Calibri"/>
                <w:color w:val="00000A"/>
                <w:highlight w:val="white"/>
              </w:rPr>
            </w:pPr>
            <w:r>
              <w:rPr>
                <w:rFonts w:eastAsia="Times New Roman" w:cs="Times New Roman" w:ascii="Times New Roman" w:hAnsi="Times New Roman"/>
                <w:color w:val="000000"/>
                <w:highlight w:val="white"/>
                <w:lang w:val="ru-RU" w:eastAsia="ru-RU"/>
              </w:rPr>
              <w:t>85,0</w:t>
            </w:r>
          </w:p>
        </w:tc>
        <w:tc>
          <w:tcPr>
            <w:tcW w:w="9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tcPr>
          <w:p>
            <w:pPr>
              <w:pStyle w:val="Normal"/>
              <w:spacing w:lineRule="auto" w:line="240" w:before="0" w:after="0"/>
              <w:jc w:val="both"/>
              <w:rPr>
                <w:rFonts w:ascii="Calibri" w:hAnsi="Calibri" w:eastAsia="Times New Roman" w:cs="Times New Roman"/>
                <w:color w:val="000000"/>
                <w:lang w:val="ru-RU" w:eastAsia="ru-RU"/>
              </w:rPr>
            </w:pPr>
            <w:r>
              <w:rPr>
                <w:rFonts w:eastAsia="Times New Roman" w:cs="Times New Roman" w:ascii="Calibri" w:hAnsi="Calibri"/>
                <w:color w:val="000000"/>
                <w:lang w:val="ru-RU" w:eastAsia="ru-RU"/>
              </w:rPr>
            </w:r>
          </w:p>
        </w:tc>
      </w:tr>
      <w:tr>
        <w:trPr>
          <w:trHeight w:val="20" w:hRule="atLeast"/>
        </w:trPr>
        <w:tc>
          <w:tcPr>
            <w:tcW w:w="41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496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rPr>
                <w:rFonts w:ascii="Calibri" w:hAnsi="Calibri" w:eastAsia="Calibri" w:cs="Calibri"/>
                <w:color w:val="00000A"/>
              </w:rPr>
            </w:pPr>
            <w:r>
              <w:rPr>
                <w:rFonts w:eastAsia="Times New Roman" w:cs="Times New Roman" w:ascii="Times New Roman" w:hAnsi="Times New Roman"/>
                <w:color w:val="000000"/>
                <w:lang w:eastAsia="ru-RU"/>
              </w:rPr>
              <w:t>Впровадження програми енергоменеджменту</w:t>
            </w:r>
          </w:p>
        </w:tc>
        <w:tc>
          <w:tcPr>
            <w:tcW w:w="11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2022-2024</w:t>
            </w:r>
          </w:p>
        </w:tc>
        <w:tc>
          <w:tcPr>
            <w:tcW w:w="71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1000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1000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1000</w:t>
            </w:r>
          </w:p>
        </w:tc>
        <w:tc>
          <w:tcPr>
            <w:tcW w:w="99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val="ru-RU" w:eastAsia="ru-RU"/>
              </w:rPr>
              <w:t>3000,0</w:t>
            </w:r>
          </w:p>
        </w:tc>
        <w:tc>
          <w:tcPr>
            <w:tcW w:w="9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Calibri" w:hAnsi="Calibri" w:eastAsia="Times New Roman" w:cs="Times New Roman"/>
                <w:color w:val="000000"/>
                <w:lang w:val="ru-RU" w:eastAsia="ru-RU"/>
              </w:rPr>
            </w:pPr>
            <w:r>
              <w:rPr>
                <w:rFonts w:eastAsia="Times New Roman" w:cs="Times New Roman" w:ascii="Calibri" w:hAnsi="Calibri"/>
                <w:color w:val="000000"/>
                <w:lang w:val="ru-RU" w:eastAsia="ru-RU"/>
              </w:rPr>
            </w:r>
          </w:p>
        </w:tc>
      </w:tr>
      <w:tr>
        <w:trPr>
          <w:trHeight w:val="20" w:hRule="atLeast"/>
        </w:trPr>
        <w:tc>
          <w:tcPr>
            <w:tcW w:w="41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496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Капітальний ремонт башти Рожновського та оновлення цілодобового водопостачання у с.Коробки</w:t>
            </w:r>
          </w:p>
        </w:tc>
        <w:tc>
          <w:tcPr>
            <w:tcW w:w="11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2021-2022</w:t>
            </w:r>
          </w:p>
        </w:tc>
        <w:tc>
          <w:tcPr>
            <w:tcW w:w="71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val="ru-RU" w:eastAsia="ru-RU"/>
              </w:rPr>
              <w:t>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0</w:t>
            </w:r>
          </w:p>
        </w:tc>
        <w:tc>
          <w:tcPr>
            <w:tcW w:w="99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val="ru-RU" w:eastAsia="ru-RU"/>
              </w:rPr>
              <w:t>0</w:t>
            </w:r>
          </w:p>
        </w:tc>
        <w:tc>
          <w:tcPr>
            <w:tcW w:w="9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val="ru-RU" w:eastAsia="ru-RU"/>
              </w:rPr>
              <w:t>300</w:t>
            </w:r>
          </w:p>
        </w:tc>
      </w:tr>
      <w:tr>
        <w:trPr>
          <w:trHeight w:val="20" w:hRule="atLeast"/>
        </w:trPr>
        <w:tc>
          <w:tcPr>
            <w:tcW w:w="41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496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Поточний ремонт покрівель багатоповерхових будинків в с.Роздольне</w:t>
            </w:r>
          </w:p>
        </w:tc>
        <w:tc>
          <w:tcPr>
            <w:tcW w:w="11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2022-2023</w:t>
            </w:r>
          </w:p>
        </w:tc>
        <w:tc>
          <w:tcPr>
            <w:tcW w:w="71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100,0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99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val="ru-RU" w:eastAsia="ru-RU"/>
              </w:rPr>
              <w:t>100,0</w:t>
            </w:r>
          </w:p>
        </w:tc>
        <w:tc>
          <w:tcPr>
            <w:tcW w:w="9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Calibri" w:hAnsi="Calibri" w:eastAsia="Times New Roman" w:cs="Times New Roman"/>
                <w:color w:val="000000"/>
                <w:lang w:val="ru-RU" w:eastAsia="ru-RU"/>
              </w:rPr>
            </w:pPr>
            <w:r>
              <w:rPr>
                <w:rFonts w:eastAsia="Times New Roman" w:cs="Times New Roman" w:ascii="Calibri" w:hAnsi="Calibri"/>
                <w:color w:val="000000"/>
                <w:lang w:val="ru-RU" w:eastAsia="ru-RU"/>
              </w:rPr>
            </w:r>
          </w:p>
        </w:tc>
      </w:tr>
      <w:tr>
        <w:trPr>
          <w:trHeight w:val="20" w:hRule="atLeast"/>
        </w:trPr>
        <w:tc>
          <w:tcPr>
            <w:tcW w:w="41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496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«Поточний ремонт порогу адмінприміщення Роздольненського старостинського округу»</w:t>
            </w:r>
          </w:p>
        </w:tc>
        <w:tc>
          <w:tcPr>
            <w:tcW w:w="11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bookmarkStart w:id="162" w:name="__DdeLink__30311_267316058"/>
            <w:bookmarkEnd w:id="162"/>
            <w:r>
              <w:rPr>
                <w:rFonts w:eastAsia="Times New Roman" w:cs="Times New Roman" w:ascii="Times New Roman" w:hAnsi="Times New Roman"/>
                <w:color w:val="000000"/>
                <w:lang w:val="ru-RU" w:eastAsia="ru-RU"/>
              </w:rPr>
              <w:t>2022-2024</w:t>
            </w:r>
          </w:p>
        </w:tc>
        <w:tc>
          <w:tcPr>
            <w:tcW w:w="71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45,0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99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val="ru-RU" w:eastAsia="ru-RU"/>
              </w:rPr>
              <w:t>45,0</w:t>
            </w:r>
          </w:p>
        </w:tc>
        <w:tc>
          <w:tcPr>
            <w:tcW w:w="9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Calibri" w:hAnsi="Calibri" w:eastAsia="Times New Roman" w:cs="Times New Roman"/>
                <w:color w:val="000000"/>
                <w:lang w:val="ru-RU" w:eastAsia="ru-RU"/>
              </w:rPr>
            </w:pPr>
            <w:r>
              <w:rPr>
                <w:rFonts w:eastAsia="Times New Roman" w:cs="Times New Roman" w:ascii="Calibri" w:hAnsi="Calibri"/>
                <w:color w:val="000000"/>
                <w:lang w:val="ru-RU" w:eastAsia="ru-RU"/>
              </w:rPr>
            </w:r>
          </w:p>
        </w:tc>
      </w:tr>
      <w:tr>
        <w:trPr>
          <w:trHeight w:val="20" w:hRule="atLeast"/>
        </w:trPr>
        <w:tc>
          <w:tcPr>
            <w:tcW w:w="41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496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Капітальний ремонт системи каналізації з автономними очисними спорудами в с. Роздольне</w:t>
            </w:r>
          </w:p>
        </w:tc>
        <w:tc>
          <w:tcPr>
            <w:tcW w:w="11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2022</w:t>
            </w:r>
          </w:p>
        </w:tc>
        <w:tc>
          <w:tcPr>
            <w:tcW w:w="71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150,0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99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val="ru-RU" w:eastAsia="ru-RU"/>
              </w:rPr>
              <w:t>150,0</w:t>
            </w:r>
          </w:p>
        </w:tc>
        <w:tc>
          <w:tcPr>
            <w:tcW w:w="9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Calibri" w:hAnsi="Calibri" w:eastAsia="Times New Roman" w:cs="Times New Roman"/>
                <w:color w:val="000000"/>
                <w:lang w:val="ru-RU" w:eastAsia="ru-RU"/>
              </w:rPr>
            </w:pPr>
            <w:r>
              <w:rPr>
                <w:rFonts w:eastAsia="Times New Roman" w:cs="Times New Roman" w:ascii="Calibri" w:hAnsi="Calibri"/>
                <w:color w:val="000000"/>
                <w:lang w:val="ru-RU" w:eastAsia="ru-RU"/>
              </w:rPr>
            </w:r>
          </w:p>
        </w:tc>
      </w:tr>
      <w:tr>
        <w:trPr>
          <w:trHeight w:val="20" w:hRule="atLeast"/>
        </w:trPr>
        <w:tc>
          <w:tcPr>
            <w:tcW w:w="41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496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Поточний ремонт пожежного гідранту в с. Роздольне, встановлення пристроїв для забору води на артезіанських свердловинах, встановлення покажчиків джерел пожежного водопостачання</w:t>
            </w:r>
          </w:p>
        </w:tc>
        <w:tc>
          <w:tcPr>
            <w:tcW w:w="11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2022-2023</w:t>
            </w:r>
          </w:p>
        </w:tc>
        <w:tc>
          <w:tcPr>
            <w:tcW w:w="71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50,0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99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val="ru-RU" w:eastAsia="ru-RU"/>
              </w:rPr>
              <w:t>50,0</w:t>
            </w:r>
          </w:p>
        </w:tc>
        <w:tc>
          <w:tcPr>
            <w:tcW w:w="9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Calibri" w:hAnsi="Calibri" w:eastAsia="Times New Roman" w:cs="Times New Roman"/>
                <w:color w:val="000000"/>
                <w:lang w:val="ru-RU" w:eastAsia="ru-RU"/>
              </w:rPr>
            </w:pPr>
            <w:r>
              <w:rPr>
                <w:rFonts w:eastAsia="Times New Roman" w:cs="Times New Roman" w:ascii="Calibri" w:hAnsi="Calibri"/>
                <w:color w:val="000000"/>
                <w:lang w:val="ru-RU" w:eastAsia="ru-RU"/>
              </w:rPr>
            </w:r>
          </w:p>
        </w:tc>
      </w:tr>
      <w:tr>
        <w:trPr>
          <w:trHeight w:val="20" w:hRule="atLeast"/>
        </w:trPr>
        <w:tc>
          <w:tcPr>
            <w:tcW w:w="41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496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Капітальний та поточний ремонт адмінбудівлі Чорноморівського старостинського округу та ФАПУ</w:t>
            </w:r>
          </w:p>
        </w:tc>
        <w:tc>
          <w:tcPr>
            <w:tcW w:w="11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2022-2024</w:t>
            </w:r>
          </w:p>
        </w:tc>
        <w:tc>
          <w:tcPr>
            <w:tcW w:w="71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val="ru-RU" w:eastAsia="ru-RU"/>
              </w:rPr>
              <w:t>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300,0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300</w:t>
            </w:r>
          </w:p>
        </w:tc>
        <w:tc>
          <w:tcPr>
            <w:tcW w:w="99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val="ru-RU" w:eastAsia="ru-RU"/>
              </w:rPr>
              <w:t>600,0</w:t>
            </w:r>
          </w:p>
        </w:tc>
        <w:tc>
          <w:tcPr>
            <w:tcW w:w="9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Calibri" w:hAnsi="Calibri" w:eastAsia="Times New Roman" w:cs="Times New Roman"/>
                <w:color w:val="000000"/>
                <w:lang w:val="ru-RU" w:eastAsia="ru-RU"/>
              </w:rPr>
            </w:pPr>
            <w:r>
              <w:rPr>
                <w:rFonts w:eastAsia="Times New Roman" w:cs="Times New Roman" w:ascii="Calibri" w:hAnsi="Calibri"/>
                <w:color w:val="000000"/>
                <w:lang w:val="ru-RU" w:eastAsia="ru-RU"/>
              </w:rPr>
            </w:r>
          </w:p>
        </w:tc>
      </w:tr>
      <w:tr>
        <w:trPr>
          <w:trHeight w:val="20" w:hRule="atLeast"/>
        </w:trPr>
        <w:tc>
          <w:tcPr>
            <w:tcW w:w="41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496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Буріння нової артезіанської свердловини з питною водою у с.Чорноморівка</w:t>
            </w:r>
          </w:p>
        </w:tc>
        <w:tc>
          <w:tcPr>
            <w:tcW w:w="11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Calibri" w:hAnsi="Calibri" w:eastAsia="Calibri" w:cs="Calibri"/>
                <w:color w:val="00000A"/>
              </w:rPr>
            </w:pPr>
            <w:r>
              <w:rPr>
                <w:rFonts w:eastAsia="Times New Roman" w:cs="Times New Roman" w:ascii="Times New Roman" w:hAnsi="Times New Roman"/>
                <w:color w:val="000000"/>
                <w:lang w:val="ru-RU" w:eastAsia="ru-RU"/>
              </w:rPr>
              <w:t>2022-2023</w:t>
            </w:r>
          </w:p>
        </w:tc>
        <w:tc>
          <w:tcPr>
            <w:tcW w:w="71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1700,0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99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val="ru-RU" w:eastAsia="ru-RU"/>
              </w:rPr>
              <w:t>1700,0</w:t>
            </w:r>
          </w:p>
        </w:tc>
        <w:tc>
          <w:tcPr>
            <w:tcW w:w="9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Calibri" w:hAnsi="Calibri" w:eastAsia="Times New Roman" w:cs="Times New Roman"/>
                <w:color w:val="000000"/>
                <w:lang w:val="ru-RU" w:eastAsia="ru-RU"/>
              </w:rPr>
            </w:pPr>
            <w:r>
              <w:rPr>
                <w:rFonts w:eastAsia="Times New Roman" w:cs="Times New Roman" w:ascii="Calibri" w:hAnsi="Calibri"/>
                <w:color w:val="000000"/>
                <w:lang w:val="ru-RU" w:eastAsia="ru-RU"/>
              </w:rPr>
            </w:r>
          </w:p>
        </w:tc>
      </w:tr>
      <w:tr>
        <w:trPr>
          <w:trHeight w:val="20" w:hRule="atLeast"/>
        </w:trPr>
        <w:tc>
          <w:tcPr>
            <w:tcW w:w="41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496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Розробка та затвердження Програми ”Благоустрій та озеленення громади”</w:t>
            </w:r>
          </w:p>
        </w:tc>
        <w:tc>
          <w:tcPr>
            <w:tcW w:w="11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2022-2024</w:t>
            </w:r>
          </w:p>
        </w:tc>
        <w:tc>
          <w:tcPr>
            <w:tcW w:w="71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25674,8</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27372,8</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29068,3</w:t>
            </w:r>
          </w:p>
        </w:tc>
        <w:tc>
          <w:tcPr>
            <w:tcW w:w="99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val="ru-RU" w:eastAsia="ru-RU"/>
              </w:rPr>
              <w:t>82115,9</w:t>
            </w:r>
          </w:p>
        </w:tc>
        <w:tc>
          <w:tcPr>
            <w:tcW w:w="9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val="ru-RU" w:eastAsia="ru-RU"/>
              </w:rPr>
              <w:t>200</w:t>
            </w:r>
          </w:p>
        </w:tc>
      </w:tr>
      <w:tr>
        <w:trPr>
          <w:trHeight w:val="20" w:hRule="atLeast"/>
        </w:trPr>
        <w:tc>
          <w:tcPr>
            <w:tcW w:w="41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496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Оновлення технічної документації по проекту ”Реконструкція міського полігону ТПВ”</w:t>
            </w:r>
          </w:p>
        </w:tc>
        <w:tc>
          <w:tcPr>
            <w:tcW w:w="11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2022-2024</w:t>
            </w:r>
          </w:p>
        </w:tc>
        <w:tc>
          <w:tcPr>
            <w:tcW w:w="71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50,0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99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val="ru-RU" w:eastAsia="ru-RU"/>
              </w:rPr>
              <w:t>50,0</w:t>
            </w:r>
          </w:p>
        </w:tc>
        <w:tc>
          <w:tcPr>
            <w:tcW w:w="9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Calibri" w:hAnsi="Calibri" w:eastAsia="Times New Roman" w:cs="Times New Roman"/>
                <w:color w:val="000000"/>
                <w:lang w:val="ru-RU" w:eastAsia="ru-RU"/>
              </w:rPr>
            </w:pPr>
            <w:r>
              <w:rPr>
                <w:rFonts w:eastAsia="Times New Roman" w:cs="Times New Roman" w:ascii="Calibri" w:hAnsi="Calibri"/>
                <w:color w:val="000000"/>
                <w:lang w:val="ru-RU" w:eastAsia="ru-RU"/>
              </w:rPr>
            </w:r>
          </w:p>
        </w:tc>
      </w:tr>
      <w:tr>
        <w:trPr>
          <w:trHeight w:val="20" w:hRule="atLeast"/>
        </w:trPr>
        <w:tc>
          <w:tcPr>
            <w:tcW w:w="41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496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Програма забезпечення екологічного стану міста(боротьба з амброзією)</w:t>
            </w:r>
          </w:p>
        </w:tc>
        <w:tc>
          <w:tcPr>
            <w:tcW w:w="11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2022-2024</w:t>
            </w:r>
          </w:p>
        </w:tc>
        <w:tc>
          <w:tcPr>
            <w:tcW w:w="71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highlight w:val="white"/>
                <w:lang w:val="ru-RU" w:eastAsia="ru-RU"/>
              </w:rPr>
              <w:t>250,0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highlight w:val="white"/>
                <w:lang w:val="ru-RU" w:eastAsia="ru-RU"/>
              </w:rPr>
              <w:t>250,0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highlight w:val="white"/>
                <w:lang w:val="ru-RU" w:eastAsia="ru-RU"/>
              </w:rPr>
              <w:t>0</w:t>
            </w:r>
          </w:p>
        </w:tc>
        <w:tc>
          <w:tcPr>
            <w:tcW w:w="99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tcPr>
          <w:p>
            <w:pPr>
              <w:pStyle w:val="Normal"/>
              <w:spacing w:lineRule="auto" w:line="240" w:before="0" w:after="0"/>
              <w:jc w:val="both"/>
              <w:rPr>
                <w:rFonts w:ascii="Times New Roman" w:hAnsi="Times New Roman" w:eastAsia="Calibri" w:cs="Calibri"/>
                <w:color w:val="00000A"/>
                <w:highlight w:val="white"/>
              </w:rPr>
            </w:pPr>
            <w:r>
              <w:rPr>
                <w:rFonts w:eastAsia="Times New Roman" w:cs="Times New Roman" w:ascii="Times New Roman" w:hAnsi="Times New Roman"/>
                <w:color w:val="000000"/>
                <w:highlight w:val="white"/>
                <w:lang w:val="ru-RU" w:eastAsia="ru-RU"/>
              </w:rPr>
              <w:t>500,0</w:t>
            </w:r>
          </w:p>
        </w:tc>
        <w:tc>
          <w:tcPr>
            <w:tcW w:w="9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tcPr>
          <w:p>
            <w:pPr>
              <w:pStyle w:val="Normal"/>
              <w:spacing w:lineRule="auto" w:line="240" w:before="0" w:after="0"/>
              <w:jc w:val="both"/>
              <w:rPr>
                <w:rFonts w:ascii="Calibri" w:hAnsi="Calibri" w:eastAsia="Times New Roman" w:cs="Times New Roman"/>
                <w:color w:val="000000"/>
                <w:lang w:val="ru-RU" w:eastAsia="ru-RU"/>
              </w:rPr>
            </w:pPr>
            <w:r>
              <w:rPr>
                <w:rFonts w:eastAsia="Times New Roman" w:cs="Times New Roman" w:ascii="Calibri" w:hAnsi="Calibri"/>
                <w:color w:val="000000"/>
                <w:lang w:val="ru-RU" w:eastAsia="ru-RU"/>
              </w:rPr>
            </w:r>
          </w:p>
        </w:tc>
      </w:tr>
      <w:tr>
        <w:trPr>
          <w:trHeight w:val="20" w:hRule="atLeast"/>
        </w:trPr>
        <w:tc>
          <w:tcPr>
            <w:tcW w:w="41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496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Капітальний та поточний ремонт доріг Каховської громади:</w:t>
            </w:r>
          </w:p>
        </w:tc>
        <w:tc>
          <w:tcPr>
            <w:tcW w:w="11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2022-2024</w:t>
            </w:r>
          </w:p>
        </w:tc>
        <w:tc>
          <w:tcPr>
            <w:tcW w:w="71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15000,0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15000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15000</w:t>
            </w:r>
          </w:p>
        </w:tc>
        <w:tc>
          <w:tcPr>
            <w:tcW w:w="99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val="ru-RU" w:eastAsia="ru-RU"/>
              </w:rPr>
              <w:t>45000</w:t>
            </w:r>
          </w:p>
        </w:tc>
        <w:tc>
          <w:tcPr>
            <w:tcW w:w="9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Calibri" w:hAnsi="Calibri" w:eastAsia="Times New Roman" w:cs="Times New Roman"/>
                <w:color w:val="000000"/>
                <w:lang w:val="ru-RU" w:eastAsia="ru-RU"/>
              </w:rPr>
            </w:pPr>
            <w:r>
              <w:rPr>
                <w:rFonts w:eastAsia="Times New Roman" w:cs="Times New Roman" w:ascii="Calibri" w:hAnsi="Calibri"/>
                <w:color w:val="000000"/>
                <w:lang w:val="ru-RU" w:eastAsia="ru-RU"/>
              </w:rPr>
            </w:r>
          </w:p>
        </w:tc>
      </w:tr>
      <w:tr>
        <w:trPr>
          <w:trHeight w:val="20" w:hRule="atLeast"/>
        </w:trPr>
        <w:tc>
          <w:tcPr>
            <w:tcW w:w="41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496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Будівництво асфальтобетонного покриття проїжджої частини пров. Херсонський с. Роздольне»</w:t>
            </w:r>
          </w:p>
        </w:tc>
        <w:tc>
          <w:tcPr>
            <w:tcW w:w="11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2022-2024</w:t>
            </w:r>
          </w:p>
        </w:tc>
        <w:tc>
          <w:tcPr>
            <w:tcW w:w="71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1700,0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1500,0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99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val="ru-RU" w:eastAsia="ru-RU"/>
              </w:rPr>
              <w:t>3200,0</w:t>
            </w:r>
          </w:p>
        </w:tc>
        <w:tc>
          <w:tcPr>
            <w:tcW w:w="9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Calibri" w:hAnsi="Calibri" w:eastAsia="Times New Roman" w:cs="Times New Roman"/>
                <w:color w:val="000000"/>
                <w:lang w:val="ru-RU" w:eastAsia="ru-RU"/>
              </w:rPr>
            </w:pPr>
            <w:r>
              <w:rPr>
                <w:rFonts w:eastAsia="Times New Roman" w:cs="Times New Roman" w:ascii="Calibri" w:hAnsi="Calibri"/>
                <w:color w:val="000000"/>
                <w:lang w:val="ru-RU" w:eastAsia="ru-RU"/>
              </w:rPr>
            </w:r>
          </w:p>
        </w:tc>
      </w:tr>
      <w:tr>
        <w:trPr>
          <w:trHeight w:val="20" w:hRule="atLeast"/>
        </w:trPr>
        <w:tc>
          <w:tcPr>
            <w:tcW w:w="41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496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rPr>
                <w:rFonts w:ascii="Calibri" w:hAnsi="Calibri" w:eastAsia="Calibri" w:cs="Calibri"/>
                <w:color w:val="00000A"/>
              </w:rPr>
            </w:pPr>
            <w:r>
              <w:rPr>
                <w:rFonts w:eastAsia="Times New Roman" w:cs="Times New Roman" w:ascii="Times New Roman" w:hAnsi="Times New Roman"/>
                <w:color w:val="000000"/>
                <w:lang w:eastAsia="ru-RU"/>
              </w:rPr>
              <w:t>Капітальний та поточний ремонт ремонт проїжджої частини пров. Херсонський  с.Коробки</w:t>
            </w:r>
          </w:p>
        </w:tc>
        <w:tc>
          <w:tcPr>
            <w:tcW w:w="11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2022-2024</w:t>
            </w:r>
          </w:p>
        </w:tc>
        <w:tc>
          <w:tcPr>
            <w:tcW w:w="71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2500,0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2500,0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99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val="ru-RU" w:eastAsia="ru-RU"/>
              </w:rPr>
              <w:t>5000,0</w:t>
            </w:r>
          </w:p>
        </w:tc>
        <w:tc>
          <w:tcPr>
            <w:tcW w:w="9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Calibri" w:hAnsi="Calibri" w:eastAsia="Times New Roman" w:cs="Times New Roman"/>
                <w:color w:val="000000"/>
                <w:lang w:val="ru-RU" w:eastAsia="ru-RU"/>
              </w:rPr>
            </w:pPr>
            <w:r>
              <w:rPr>
                <w:rFonts w:eastAsia="Times New Roman" w:cs="Times New Roman" w:ascii="Calibri" w:hAnsi="Calibri"/>
                <w:color w:val="000000"/>
                <w:lang w:val="ru-RU" w:eastAsia="ru-RU"/>
              </w:rPr>
            </w:r>
          </w:p>
        </w:tc>
      </w:tr>
      <w:tr>
        <w:trPr>
          <w:trHeight w:val="20" w:hRule="atLeast"/>
        </w:trPr>
        <w:tc>
          <w:tcPr>
            <w:tcW w:w="41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496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Капітальний та поточний ремонт доріг в с.Чорноморівка</w:t>
            </w:r>
          </w:p>
        </w:tc>
        <w:tc>
          <w:tcPr>
            <w:tcW w:w="11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2022-2024</w:t>
            </w:r>
          </w:p>
        </w:tc>
        <w:tc>
          <w:tcPr>
            <w:tcW w:w="71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1500,0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500,0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99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val="ru-RU" w:eastAsia="ru-RU"/>
              </w:rPr>
              <w:t>2000,0</w:t>
            </w:r>
          </w:p>
        </w:tc>
        <w:tc>
          <w:tcPr>
            <w:tcW w:w="9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Calibri" w:hAnsi="Calibri" w:eastAsia="Times New Roman" w:cs="Times New Roman"/>
                <w:color w:val="000000"/>
                <w:lang w:val="ru-RU" w:eastAsia="ru-RU"/>
              </w:rPr>
            </w:pPr>
            <w:r>
              <w:rPr>
                <w:rFonts w:eastAsia="Times New Roman" w:cs="Times New Roman" w:ascii="Calibri" w:hAnsi="Calibri"/>
                <w:color w:val="000000"/>
                <w:lang w:val="ru-RU" w:eastAsia="ru-RU"/>
              </w:rPr>
            </w:r>
          </w:p>
        </w:tc>
      </w:tr>
      <w:tr>
        <w:trPr>
          <w:trHeight w:val="20" w:hRule="atLeast"/>
        </w:trPr>
        <w:tc>
          <w:tcPr>
            <w:tcW w:w="41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numPr>
                <w:ilvl w:val="0"/>
                <w:numId w:val="20"/>
              </w:numPr>
              <w:spacing w:lineRule="auto" w:line="240" w:before="0" w:after="0"/>
              <w:ind w:left="0" w:hanging="0"/>
              <w:contextualSpacing/>
              <w:jc w:val="center"/>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r>
          </w:p>
        </w:tc>
        <w:tc>
          <w:tcPr>
            <w:tcW w:w="496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rPr>
                <w:rFonts w:ascii="Times New Roman" w:hAnsi="Times New Roman" w:eastAsia="Times New Roman" w:cs="Times New Roman"/>
                <w:color w:val="000000"/>
                <w:lang w:eastAsia="ru-RU"/>
              </w:rPr>
            </w:pPr>
            <w:r>
              <w:rPr>
                <w:rFonts w:eastAsia="Times New Roman" w:cs="Times New Roman" w:ascii="Times New Roman" w:hAnsi="Times New Roman"/>
                <w:color w:val="000000"/>
                <w:lang w:eastAsia="ru-RU"/>
              </w:rPr>
              <w:t>Поточний ремонт асфальтобетонного покриття проїжджої частини вул. Шкільна, вул.Шуменська, вул.Херсонська с. Роздольне</w:t>
            </w:r>
          </w:p>
        </w:tc>
        <w:tc>
          <w:tcPr>
            <w:tcW w:w="11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2022-2024</w:t>
            </w:r>
          </w:p>
        </w:tc>
        <w:tc>
          <w:tcPr>
            <w:tcW w:w="71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100,0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100,0</w:t>
            </w:r>
          </w:p>
        </w:tc>
        <w:tc>
          <w:tcPr>
            <w:tcW w:w="71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color w:val="000000"/>
                <w:lang w:val="ru-RU" w:eastAsia="ru-RU"/>
              </w:rPr>
            </w:pPr>
            <w:r>
              <w:rPr>
                <w:rFonts w:eastAsia="Times New Roman" w:cs="Times New Roman" w:ascii="Times New Roman" w:hAnsi="Times New Roman"/>
                <w:color w:val="000000"/>
                <w:lang w:val="ru-RU" w:eastAsia="ru-RU"/>
              </w:rPr>
              <w:t>50</w:t>
            </w:r>
          </w:p>
        </w:tc>
        <w:tc>
          <w:tcPr>
            <w:tcW w:w="99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color w:val="000000"/>
                <w:lang w:val="ru-RU" w:eastAsia="ru-RU"/>
              </w:rPr>
              <w:t>250,0</w:t>
            </w:r>
          </w:p>
        </w:tc>
        <w:tc>
          <w:tcPr>
            <w:tcW w:w="9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Calibri" w:hAnsi="Calibri" w:eastAsia="Times New Roman" w:cs="Times New Roman"/>
                <w:color w:val="000000"/>
                <w:lang w:val="ru-RU" w:eastAsia="ru-RU"/>
              </w:rPr>
            </w:pPr>
            <w:r>
              <w:rPr>
                <w:rFonts w:eastAsia="Times New Roman" w:cs="Times New Roman" w:ascii="Calibri" w:hAnsi="Calibri"/>
                <w:color w:val="000000"/>
                <w:lang w:val="ru-RU" w:eastAsia="ru-RU"/>
              </w:rPr>
            </w:r>
          </w:p>
        </w:tc>
      </w:tr>
      <w:tr>
        <w:trPr>
          <w:trHeight w:val="20" w:hRule="atLeast"/>
        </w:trPr>
        <w:tc>
          <w:tcPr>
            <w:tcW w:w="5380" w:type="dxa"/>
            <w:gridSpan w:val="2"/>
            <w:tcBorders>
              <w:top w:val="single" w:sz="8" w:space="0" w:color="00000A"/>
              <w:left w:val="single" w:sz="8" w:space="0" w:color="00000A"/>
              <w:bottom w:val="single" w:sz="8" w:space="0" w:color="00000A"/>
              <w:right w:val="single" w:sz="8" w:space="0" w:color="000001"/>
              <w:insideH w:val="single" w:sz="8" w:space="0" w:color="00000A"/>
              <w:insideV w:val="single" w:sz="8" w:space="0" w:color="000001"/>
            </w:tcBorders>
            <w:shd w:color="auto" w:fill="auto" w:val="clear"/>
            <w:tcMar>
              <w:left w:w="-10" w:type="dxa"/>
            </w:tcMar>
          </w:tcPr>
          <w:p>
            <w:pPr>
              <w:pStyle w:val="Normal"/>
              <w:spacing w:lineRule="auto" w:line="240" w:before="0" w:after="0"/>
              <w:contextualSpacing/>
              <w:jc w:val="center"/>
              <w:rPr>
                <w:rFonts w:ascii="Times New Roman" w:hAnsi="Times New Roman" w:eastAsia="Times New Roman" w:cs="Times New Roman"/>
                <w:b/>
                <w:b/>
                <w:bCs/>
                <w:color w:val="000000"/>
                <w:lang w:eastAsia="ru-RU"/>
              </w:rPr>
            </w:pPr>
            <w:r>
              <w:rPr>
                <w:rFonts w:eastAsia="Times New Roman" w:cs="Times New Roman" w:ascii="Times New Roman" w:hAnsi="Times New Roman"/>
                <w:b/>
                <w:bCs/>
                <w:color w:val="000000"/>
                <w:lang w:eastAsia="ru-RU"/>
              </w:rPr>
              <w:t>ВСЬОГО</w:t>
            </w:r>
          </w:p>
        </w:tc>
        <w:tc>
          <w:tcPr>
            <w:tcW w:w="11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Times New Roman" w:cs="Times New Roman"/>
                <w:b/>
                <w:b/>
                <w:bCs/>
                <w:color w:val="000000"/>
                <w:lang w:val="ru-RU" w:eastAsia="ru-RU"/>
              </w:rPr>
            </w:pPr>
            <w:r>
              <w:rPr>
                <w:rFonts w:eastAsia="Times New Roman" w:cs="Times New Roman" w:ascii="Times New Roman" w:hAnsi="Times New Roman"/>
                <w:b/>
                <w:bCs/>
                <w:color w:val="000000"/>
                <w:lang w:val="ru-RU" w:eastAsia="ru-RU"/>
              </w:rPr>
            </w:r>
          </w:p>
        </w:tc>
        <w:tc>
          <w:tcPr>
            <w:tcW w:w="708"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vAlign w:val="bottom"/>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b/>
                <w:bCs/>
                <w:color w:val="000000"/>
                <w:lang w:val="ru-RU" w:eastAsia="ru-RU"/>
              </w:rPr>
              <w:t>63828,16</w:t>
            </w:r>
          </w:p>
        </w:tc>
        <w:tc>
          <w:tcPr>
            <w:tcW w:w="70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vAlign w:val="bottom"/>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b/>
                <w:bCs/>
                <w:color w:val="000000"/>
                <w:lang w:val="ru-RU" w:eastAsia="ru-RU"/>
              </w:rPr>
              <w:t>72454,5</w:t>
            </w:r>
          </w:p>
        </w:tc>
        <w:tc>
          <w:tcPr>
            <w:tcW w:w="715"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vAlign w:val="bottom"/>
          </w:tcPr>
          <w:p>
            <w:pPr>
              <w:pStyle w:val="Normal"/>
              <w:spacing w:lineRule="auto" w:line="240" w:before="0" w:after="0"/>
              <w:jc w:val="both"/>
              <w:rPr>
                <w:rFonts w:ascii="Times New Roman" w:hAnsi="Times New Roman" w:eastAsia="Calibri" w:cs="Calibri"/>
                <w:color w:val="00000A"/>
              </w:rPr>
            </w:pPr>
            <w:r>
              <w:rPr>
                <w:rFonts w:eastAsia="Times New Roman" w:cs="Times New Roman" w:ascii="Times New Roman" w:hAnsi="Times New Roman"/>
                <w:b/>
                <w:bCs/>
                <w:color w:val="000000"/>
                <w:lang w:val="ru-RU" w:eastAsia="ru-RU"/>
              </w:rPr>
              <w:t>79687,3</w:t>
            </w:r>
          </w:p>
        </w:tc>
        <w:tc>
          <w:tcPr>
            <w:tcW w:w="99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b/>
                <w:b/>
                <w:bCs/>
                <w:color w:val="00000A"/>
              </w:rPr>
            </w:pPr>
            <w:r>
              <w:rPr>
                <w:rFonts w:eastAsia="Calibri" w:cs="Calibri" w:ascii="Times New Roman" w:hAnsi="Times New Roman"/>
                <w:b/>
                <w:bCs/>
                <w:color w:val="00000A"/>
              </w:rPr>
              <w:t>215969,96</w:t>
            </w:r>
          </w:p>
        </w:tc>
        <w:tc>
          <w:tcPr>
            <w:tcW w:w="96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10" w:type="dxa"/>
            </w:tcMar>
          </w:tcPr>
          <w:p>
            <w:pPr>
              <w:pStyle w:val="Normal"/>
              <w:spacing w:lineRule="auto" w:line="240" w:before="0" w:after="0"/>
              <w:jc w:val="both"/>
              <w:rPr>
                <w:rFonts w:ascii="Times New Roman" w:hAnsi="Times New Roman" w:eastAsia="Calibri" w:cs="Calibri"/>
                <w:b/>
                <w:b/>
                <w:bCs/>
                <w:color w:val="00000A"/>
              </w:rPr>
            </w:pPr>
            <w:r>
              <w:rPr>
                <w:rFonts w:eastAsia="Times New Roman" w:cs="Times New Roman" w:ascii="Times New Roman" w:hAnsi="Times New Roman"/>
                <w:b/>
                <w:bCs/>
                <w:color w:val="000000"/>
                <w:lang w:val="ru-RU" w:eastAsia="ru-RU"/>
              </w:rPr>
              <w:t>49681,7</w:t>
            </w:r>
          </w:p>
        </w:tc>
      </w:tr>
    </w:tbl>
    <w:p>
      <w:pPr>
        <w:pStyle w:val="Normal"/>
        <w:spacing w:lineRule="auto" w:line="240" w:before="0" w:after="0"/>
        <w:jc w:val="both"/>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keepNext/>
        <w:keepLines/>
        <w:numPr>
          <w:ilvl w:val="0"/>
          <w:numId w:val="0"/>
        </w:numPr>
        <w:tabs>
          <w:tab w:val="left" w:pos="567" w:leader="none"/>
        </w:tabs>
        <w:spacing w:lineRule="auto" w:line="240" w:before="0" w:after="0"/>
        <w:outlineLvl w:val="1"/>
        <w:rPr>
          <w:rFonts w:ascii="Times New Roman" w:hAnsi="Times New Roman" w:eastAsia="Times New Roman" w:cs="Times New Roman"/>
          <w:b/>
          <w:b/>
          <w:bCs/>
          <w:sz w:val="24"/>
          <w:szCs w:val="26"/>
        </w:rPr>
      </w:pPr>
      <w:bookmarkStart w:id="163" w:name="_Toc501407500"/>
      <w:bookmarkStart w:id="164" w:name="_Toc42617128"/>
      <w:bookmarkStart w:id="165" w:name="_Toc84967200"/>
      <w:bookmarkEnd w:id="163"/>
      <w:bookmarkEnd w:id="164"/>
      <w:bookmarkEnd w:id="165"/>
      <w:r>
        <w:rPr>
          <w:rFonts w:eastAsia="Times New Roman" w:cs="Times New Roman" w:ascii="Times New Roman" w:hAnsi="Times New Roman"/>
          <w:b/>
          <w:bCs/>
          <w:sz w:val="24"/>
          <w:szCs w:val="26"/>
        </w:rPr>
        <w:t>Припущення та ризики</w:t>
      </w:r>
    </w:p>
    <w:p>
      <w:pPr>
        <w:pStyle w:val="Normal"/>
        <w:widowControl w:val="false"/>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r>
    </w:p>
    <w:p>
      <w:pPr>
        <w:pStyle w:val="Normal"/>
        <w:widowControl w:val="false"/>
        <w:spacing w:lineRule="auto" w:line="240" w:before="0" w:after="0"/>
        <w:ind w:firstLine="708"/>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Термін планування Стратегії є досить тривалим. Тому, загальні припущення, що мають значення для її реалізації, полягають в продовженні реформування ключових секторів громадського життя, а також ефективності дій Уряду України, спрямованих на зовнішні виклики, перш за все, пов‘язані з військовим конфліктом. Дещо пов’язані зі згаданими є важливі припущення щодо доступності коштів державних цільових субвенцій, доступності та прозорості фінансових ресурсів Державного фонду регіонального розвитку, а також інших джерел фінансування, передбачених конкретними проектами.</w:t>
      </w:r>
    </w:p>
    <w:p>
      <w:pPr>
        <w:pStyle w:val="Normal"/>
        <w:widowControl w:val="false"/>
        <w:spacing w:lineRule="auto" w:line="240" w:before="0" w:after="0"/>
        <w:ind w:firstLine="708"/>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 xml:space="preserve">Додаткові позитивні результати можуть бути отримані завдяки участі Каховської громади у міжнародних проектах з підтримки сталого місцевого розвитку. </w:t>
      </w:r>
    </w:p>
    <w:p>
      <w:pPr>
        <w:pStyle w:val="Normal"/>
        <w:widowControl w:val="false"/>
        <w:spacing w:lineRule="auto" w:line="240" w:before="0" w:after="0"/>
        <w:ind w:firstLine="708"/>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 xml:space="preserve">Наявність коштів та знань з питань проєктного менеджменту, відповідних технічних знань є важливими загальними припущеннями для успішної реалізації стратегії. </w:t>
      </w:r>
    </w:p>
    <w:p>
      <w:pPr>
        <w:pStyle w:val="Normal"/>
        <w:widowControl w:val="false"/>
        <w:spacing w:lineRule="auto" w:line="240" w:before="0" w:after="0"/>
        <w:ind w:firstLine="708"/>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 xml:space="preserve">Варто зауважити про можливі ускладнення на шляху реалізації Стратегії, оскільки Каховська громада не має досвіду реалізації довгострокових планово-прогнозних документів. Ключову роль тут відіграватиме якісна імплементація першого етапу реалізації Стратегії протягом 2022-2024 років та ймовірна адаптація Стратегії до нового законодавчого забезпечення регіонального та місцевого розвитку, актуалізованих стратегічних документів регіонального та національного рівня.  </w:t>
      </w:r>
    </w:p>
    <w:p>
      <w:pPr>
        <w:pStyle w:val="Normal"/>
        <w:widowControl w:val="false"/>
        <w:spacing w:lineRule="auto" w:line="240" w:before="0" w:after="0"/>
        <w:ind w:firstLine="708"/>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До реалізації Стратегії повинні бути залучені громадські організації, програми міжнародної технічної допомоги, державні установи, приватні інвестори зі своїми знаннями, людськими, інформаційними, матеріальними та фінансовими ресурсами.</w:t>
      </w:r>
    </w:p>
    <w:p>
      <w:pPr>
        <w:pStyle w:val="Normal"/>
        <w:widowControl w:val="false"/>
        <w:spacing w:lineRule="auto" w:line="240" w:before="0" w:after="0"/>
        <w:ind w:firstLine="708"/>
        <w:jc w:val="both"/>
        <w:rPr>
          <w:rFonts w:ascii="Times New Roman" w:hAnsi="Times New Roman" w:eastAsia="Times New Roman" w:cs="Times New Roman"/>
          <w:sz w:val="24"/>
          <w:szCs w:val="24"/>
          <w:lang w:eastAsia="ru-RU"/>
        </w:rPr>
      </w:pPr>
      <w:bookmarkStart w:id="166" w:name="_Hlk84345508"/>
      <w:bookmarkEnd w:id="166"/>
      <w:r>
        <w:rPr>
          <w:rFonts w:eastAsia="Times New Roman" w:cs="Times New Roman" w:ascii="Times New Roman" w:hAnsi="Times New Roman"/>
          <w:sz w:val="24"/>
          <w:szCs w:val="24"/>
          <w:lang w:eastAsia="ru-RU"/>
        </w:rPr>
        <w:t>Підвищення спроможності місцевого населення та установ і їх готовність взяти участь та надати підтримку у реалізації проєктів є важливим припущенням, що допомагає максимально використати сільськогосподарський, виробничий і підприємницький потенціал громади. Участь підприємств, власників домогосподарств, фермерів та інших суб’єктів розвитку є особливо важливою для успіху ініціатив з розвитку кооперації та туризму.</w:t>
      </w:r>
    </w:p>
    <w:p>
      <w:pPr>
        <w:pStyle w:val="Normal"/>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keepNext/>
        <w:numPr>
          <w:ilvl w:val="0"/>
          <w:numId w:val="0"/>
        </w:numPr>
        <w:tabs>
          <w:tab w:val="left" w:pos="284" w:leader="none"/>
        </w:tabs>
        <w:spacing w:lineRule="auto" w:line="240" w:before="0" w:after="0"/>
        <w:outlineLvl w:val="0"/>
        <w:rPr>
          <w:rFonts w:ascii="Times New Roman" w:hAnsi="Times New Roman" w:eastAsia="Times New Roman" w:cs="Times New Roman"/>
          <w:b/>
          <w:b/>
          <w:bCs/>
          <w:sz w:val="24"/>
          <w:szCs w:val="24"/>
        </w:rPr>
      </w:pPr>
      <w:bookmarkStart w:id="167" w:name="_Toc360268"/>
      <w:bookmarkStart w:id="168" w:name="_Toc42617129"/>
      <w:bookmarkStart w:id="169" w:name="_Toc84967201"/>
      <w:r>
        <w:rPr>
          <w:rFonts w:eastAsia="Times New Roman" w:cs="Times New Roman" w:ascii="Times New Roman" w:hAnsi="Times New Roman"/>
          <w:b/>
          <w:bCs/>
          <w:sz w:val="24"/>
          <w:szCs w:val="24"/>
          <w:lang w:val="en-US"/>
        </w:rPr>
        <w:t>VII</w:t>
      </w:r>
      <w:bookmarkEnd w:id="167"/>
      <w:bookmarkEnd w:id="168"/>
      <w:bookmarkEnd w:id="169"/>
      <w:r>
        <w:rPr>
          <w:rFonts w:eastAsia="Times New Roman" w:cs="Times New Roman" w:ascii="Times New Roman" w:hAnsi="Times New Roman"/>
          <w:b/>
          <w:bCs/>
          <w:sz w:val="24"/>
          <w:szCs w:val="24"/>
        </w:rPr>
        <w:t>. МОНІТОРИНГ ТА ОЦІНКА РЕЗУЛЬТАТИВНОСТІ РЕАЛІЗАЦІЇ СТРАТЕГІЇ</w:t>
      </w:r>
    </w:p>
    <w:p>
      <w:pPr>
        <w:pStyle w:val="Normal"/>
        <w:spacing w:lineRule="auto" w:line="240" w:before="120" w:after="0"/>
        <w:ind w:firstLine="709"/>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Головний сенс моніторингу полягає у виконанні двох взаємопов’язаних функцій – спостереження (відслідковування) та попередження. Відслідковування проводиться з метою виявлення відповідності наявного стану речей бажаному результату, а попередження – з метою попередження небажаних наслідків. </w:t>
      </w:r>
    </w:p>
    <w:p>
      <w:pPr>
        <w:pStyle w:val="Normal"/>
        <w:spacing w:lineRule="auto" w:line="240" w:before="0" w:after="0"/>
        <w:ind w:firstLine="708"/>
        <w:jc w:val="both"/>
        <w:rPr>
          <w:rFonts w:ascii="Times New Roman" w:hAnsi="Times New Roman" w:eastAsia="Calibri" w:cs="Times New Roman"/>
          <w:sz w:val="24"/>
          <w:szCs w:val="24"/>
        </w:rPr>
      </w:pPr>
      <w:r>
        <w:rPr>
          <w:rFonts w:eastAsia="Calibri" w:cs="Times New Roman" w:ascii="Times New Roman" w:hAnsi="Times New Roman"/>
          <w:sz w:val="24"/>
          <w:szCs w:val="24"/>
        </w:rPr>
        <w:t>Результати моніторингу є основою для висновків про необхідність коригування/оновлення Стратегії та стимулювання її реалізації.</w:t>
      </w:r>
    </w:p>
    <w:p>
      <w:pPr>
        <w:pStyle w:val="Normal"/>
        <w:spacing w:lineRule="auto" w:line="240" w:before="120" w:after="0"/>
        <w:ind w:firstLine="709"/>
        <w:jc w:val="both"/>
        <w:rPr>
          <w:rFonts w:ascii="Times New Roman" w:hAnsi="Times New Roman" w:eastAsia="Calibri" w:cs="Times New Roman"/>
          <w:sz w:val="24"/>
          <w:szCs w:val="24"/>
        </w:rPr>
      </w:pPr>
      <w:r>
        <w:rPr>
          <w:rFonts w:eastAsia="Calibri" w:cs="Times New Roman" w:ascii="Times New Roman" w:hAnsi="Times New Roman"/>
          <w:sz w:val="24"/>
          <w:szCs w:val="24"/>
        </w:rPr>
        <w:t>Моніторинг реалізації Стратегії розвитку Каховської громади включає три рівні:</w:t>
      </w:r>
    </w:p>
    <w:p>
      <w:pPr>
        <w:pStyle w:val="Normal"/>
        <w:spacing w:lineRule="auto" w:line="240" w:before="120" w:after="0"/>
        <w:jc w:val="both"/>
        <w:rPr>
          <w:rFonts w:ascii="Times New Roman" w:hAnsi="Times New Roman" w:eastAsia="Calibri" w:cs="Times New Roman"/>
          <w:sz w:val="24"/>
          <w:szCs w:val="24"/>
        </w:rPr>
      </w:pPr>
      <w:r>
        <w:rPr>
          <w:rFonts w:eastAsia="Calibri" w:cs="Times New Roman" w:ascii="Times New Roman" w:hAnsi="Times New Roman"/>
          <w:b/>
          <w:bCs/>
          <w:sz w:val="24"/>
          <w:szCs w:val="24"/>
        </w:rPr>
        <w:t>1). Моніторинг зовнішнього середовища розвитку громади.</w:t>
      </w:r>
      <w:r>
        <w:rPr>
          <w:rFonts w:eastAsia="Calibri" w:cs="Times New Roman" w:ascii="Times New Roman" w:hAnsi="Times New Roman"/>
          <w:sz w:val="24"/>
          <w:szCs w:val="24"/>
        </w:rPr>
        <w:t xml:space="preserve"> Базується на аналізі основних показників, що характеризують ситуацію в державі в цілому та Херсонській області зокрема, які є стратегічно важливими для громади. Підсумки підводяться один раз на рік та доводяться як частина зведеного аналітичного моніторингового звіту.</w:t>
      </w:r>
    </w:p>
    <w:p>
      <w:pPr>
        <w:pStyle w:val="Normal"/>
        <w:spacing w:lineRule="auto" w:line="240" w:before="120" w:after="0"/>
        <w:jc w:val="both"/>
        <w:rPr>
          <w:rFonts w:ascii="Times New Roman" w:hAnsi="Times New Roman" w:eastAsia="Calibri" w:cs="Times New Roman"/>
          <w:sz w:val="24"/>
          <w:szCs w:val="24"/>
        </w:rPr>
      </w:pPr>
      <w:r>
        <w:rPr>
          <w:rFonts w:eastAsia="Calibri" w:cs="Times New Roman" w:ascii="Times New Roman" w:hAnsi="Times New Roman"/>
          <w:b/>
          <w:bCs/>
          <w:sz w:val="24"/>
          <w:szCs w:val="24"/>
        </w:rPr>
        <w:t>2). Моніторинг стану розвитку громади</w:t>
      </w:r>
      <w:r>
        <w:rPr>
          <w:rFonts w:eastAsia="Calibri" w:cs="Times New Roman" w:ascii="Times New Roman" w:hAnsi="Times New Roman"/>
          <w:sz w:val="24"/>
          <w:szCs w:val="24"/>
        </w:rPr>
        <w:t xml:space="preserve"> проводиться з урахуванням Орієнтовного переліку показників соціально-економічного розвитку ТГ (затверджений Наказом Мінрегіону від 30.03.2016 №75) і базується, зокрема, на таких категоріях показників: </w:t>
      </w:r>
    </w:p>
    <w:p>
      <w:pPr>
        <w:pStyle w:val="Normal"/>
        <w:numPr>
          <w:ilvl w:val="1"/>
          <w:numId w:val="19"/>
        </w:numPr>
        <w:spacing w:lineRule="auto" w:line="240" w:before="120" w:after="0"/>
        <w:ind w:left="567" w:hanging="360"/>
        <w:contextualSpacing/>
        <w:jc w:val="both"/>
        <w:rPr>
          <w:rFonts w:ascii="Times New Roman" w:hAnsi="Times New Roman" w:eastAsia="Calibri" w:cs="Times New Roman"/>
          <w:sz w:val="24"/>
          <w:szCs w:val="24"/>
          <w:lang w:eastAsia="ja-JP"/>
        </w:rPr>
      </w:pPr>
      <w:r>
        <w:rPr>
          <w:rFonts w:eastAsia="Calibri" w:cs="Times New Roman" w:ascii="Times New Roman" w:hAnsi="Times New Roman"/>
          <w:sz w:val="24"/>
          <w:szCs w:val="24"/>
          <w:lang w:eastAsia="ja-JP"/>
        </w:rPr>
        <w:t xml:space="preserve">Демографічні тенденції (чисельність населення, народжуваність, міграція); </w:t>
      </w:r>
    </w:p>
    <w:p>
      <w:pPr>
        <w:pStyle w:val="Normal"/>
        <w:numPr>
          <w:ilvl w:val="1"/>
          <w:numId w:val="19"/>
        </w:numPr>
        <w:spacing w:lineRule="auto" w:line="240" w:before="120" w:after="0"/>
        <w:ind w:left="567" w:hanging="360"/>
        <w:contextualSpacing/>
        <w:jc w:val="both"/>
        <w:rPr>
          <w:rFonts w:ascii="Times New Roman" w:hAnsi="Times New Roman" w:eastAsia="Calibri" w:cs="Times New Roman"/>
          <w:sz w:val="24"/>
          <w:szCs w:val="24"/>
          <w:lang w:eastAsia="ja-JP"/>
        </w:rPr>
      </w:pPr>
      <w:r>
        <w:rPr>
          <w:rFonts w:eastAsia="Calibri" w:cs="Times New Roman" w:ascii="Times New Roman" w:hAnsi="Times New Roman"/>
          <w:sz w:val="24"/>
          <w:szCs w:val="24"/>
          <w:lang w:eastAsia="ja-JP"/>
        </w:rPr>
        <w:t xml:space="preserve">Фінансова самодостатність (обсяг власних доходів місцевого бюджету на душу; обсяг ПДФО на 1 найманого працівника; дотаційність місцевого бюджету; капвидатки місцевого бюджету на душу; частка видатків місцевого бюджету на утримання управлінського апарату); </w:t>
      </w:r>
    </w:p>
    <w:p>
      <w:pPr>
        <w:pStyle w:val="Normal"/>
        <w:numPr>
          <w:ilvl w:val="1"/>
          <w:numId w:val="19"/>
        </w:numPr>
        <w:spacing w:lineRule="auto" w:line="240" w:before="120" w:after="0"/>
        <w:ind w:left="567" w:hanging="360"/>
        <w:contextualSpacing/>
        <w:jc w:val="both"/>
        <w:rPr>
          <w:rFonts w:ascii="Times New Roman" w:hAnsi="Times New Roman" w:eastAsia="Calibri" w:cs="Times New Roman"/>
          <w:sz w:val="24"/>
          <w:szCs w:val="24"/>
          <w:lang w:eastAsia="ja-JP"/>
        </w:rPr>
      </w:pPr>
      <w:r>
        <w:rPr>
          <w:rFonts w:eastAsia="Calibri" w:cs="Times New Roman" w:ascii="Times New Roman" w:hAnsi="Times New Roman"/>
          <w:sz w:val="24"/>
          <w:szCs w:val="24"/>
          <w:lang w:eastAsia="ja-JP"/>
        </w:rPr>
        <w:t xml:space="preserve">Економічна активність (середньомісячна заробітна плата; рівень безробіття; кількість нових робочих місць; обсяг інвестицій в основний капітал; фінансування проектів регіонального розвитку в ТГ); </w:t>
      </w:r>
    </w:p>
    <w:p>
      <w:pPr>
        <w:pStyle w:val="Normal"/>
        <w:numPr>
          <w:ilvl w:val="1"/>
          <w:numId w:val="19"/>
        </w:numPr>
        <w:spacing w:lineRule="auto" w:line="240" w:before="120" w:after="0"/>
        <w:ind w:left="567" w:hanging="360"/>
        <w:contextualSpacing/>
        <w:jc w:val="both"/>
        <w:rPr>
          <w:rFonts w:ascii="Times New Roman" w:hAnsi="Times New Roman" w:eastAsia="Calibri" w:cs="Times New Roman"/>
          <w:sz w:val="24"/>
          <w:szCs w:val="24"/>
          <w:lang w:eastAsia="ja-JP"/>
        </w:rPr>
      </w:pPr>
      <w:r>
        <w:rPr>
          <w:rFonts w:eastAsia="Calibri" w:cs="Times New Roman" w:ascii="Times New Roman" w:hAnsi="Times New Roman"/>
          <w:sz w:val="24"/>
          <w:szCs w:val="24"/>
          <w:lang w:eastAsia="ja-JP"/>
        </w:rPr>
        <w:t xml:space="preserve">Якість і доступність публічних послуг (доступ до Інтернету; забезпеченість лікарями ПМД; захворюваність ССЗ; частка випускників ЗНЗ, які отримали за результатами ЗНО 160 і більше балів); </w:t>
      </w:r>
    </w:p>
    <w:p>
      <w:pPr>
        <w:pStyle w:val="Normal"/>
        <w:numPr>
          <w:ilvl w:val="1"/>
          <w:numId w:val="19"/>
        </w:numPr>
        <w:spacing w:lineRule="auto" w:line="240" w:before="120" w:after="0"/>
        <w:ind w:left="567" w:hanging="360"/>
        <w:contextualSpacing/>
        <w:jc w:val="both"/>
        <w:rPr>
          <w:rFonts w:ascii="Times New Roman" w:hAnsi="Times New Roman" w:eastAsia="Calibri" w:cs="Times New Roman"/>
          <w:sz w:val="24"/>
          <w:szCs w:val="24"/>
          <w:lang w:eastAsia="ja-JP"/>
        </w:rPr>
      </w:pPr>
      <w:r>
        <w:rPr>
          <w:rFonts w:eastAsia="Calibri" w:cs="Times New Roman" w:ascii="Times New Roman" w:hAnsi="Times New Roman"/>
          <w:sz w:val="24"/>
          <w:szCs w:val="24"/>
          <w:lang w:eastAsia="ja-JP"/>
        </w:rPr>
        <w:t>Комфортність умов життя (забезпеченість централізованим водопостачанням і водовідведенням; покриття договорами на вивезення ТПВ).</w:t>
      </w:r>
    </w:p>
    <w:p>
      <w:pPr>
        <w:pStyle w:val="Normal"/>
        <w:spacing w:lineRule="auto" w:line="240" w:before="120" w:after="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Крім того, проводиться моніторинг процесу реалізації стратегічних цілей відповідно до наступних показників: </w:t>
      </w:r>
    </w:p>
    <w:p>
      <w:pPr>
        <w:pStyle w:val="Normal"/>
        <w:spacing w:lineRule="auto" w:line="240" w:before="120" w:after="0"/>
        <w:jc w:val="both"/>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120" w:after="0"/>
        <w:jc w:val="both"/>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120" w:after="0"/>
        <w:jc w:val="both"/>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120" w:after="0"/>
        <w:jc w:val="both"/>
        <w:rPr>
          <w:rFonts w:ascii="Times New Roman" w:hAnsi="Times New Roman" w:eastAsia="Calibri" w:cs="Times New Roman"/>
          <w:sz w:val="24"/>
          <w:szCs w:val="24"/>
        </w:rPr>
      </w:pPr>
      <w:r>
        <w:rPr>
          <w:rFonts w:eastAsia="Calibri" w:cs="Times New Roman" w:ascii="Times New Roman" w:hAnsi="Times New Roman"/>
          <w:sz w:val="24"/>
          <w:szCs w:val="24"/>
        </w:rPr>
      </w:r>
    </w:p>
    <w:p>
      <w:pPr>
        <w:pStyle w:val="TableTitle"/>
        <w:numPr>
          <w:ilvl w:val="0"/>
          <w:numId w:val="2"/>
        </w:numPr>
        <w:ind w:left="714" w:hanging="357"/>
        <w:rPr/>
      </w:pPr>
      <w:bookmarkStart w:id="170" w:name="_Toc84967207"/>
      <w:bookmarkStart w:id="171" w:name="_Toc360275"/>
      <w:bookmarkStart w:id="172" w:name="_Toc42617134"/>
      <w:r>
        <w:rPr/>
        <w:t xml:space="preserve">Індикатори впливу та результату Стратегічної цілі </w:t>
      </w:r>
      <w:bookmarkEnd w:id="170"/>
      <w:bookmarkEnd w:id="171"/>
      <w:bookmarkEnd w:id="172"/>
      <w:r>
        <w:rPr>
          <w:lang w:val="ru-RU"/>
        </w:rPr>
        <w:t>1</w:t>
      </w:r>
    </w:p>
    <w:tbl>
      <w:tblPr>
        <w:tblStyle w:val="210"/>
        <w:tblW w:w="10176" w:type="dxa"/>
        <w:jc w:val="left"/>
        <w:tblInd w:w="-25" w:type="dxa"/>
        <w:tblCellMar>
          <w:top w:w="0" w:type="dxa"/>
          <w:left w:w="-15" w:type="dxa"/>
          <w:bottom w:w="0" w:type="dxa"/>
          <w:right w:w="57" w:type="dxa"/>
        </w:tblCellMar>
        <w:tblLook w:val="04a0" w:noVBand="1" w:noHBand="0" w:lastColumn="0" w:firstColumn="1" w:lastRow="0" w:firstRow="1"/>
      </w:tblPr>
      <w:tblGrid>
        <w:gridCol w:w="2247"/>
        <w:gridCol w:w="5813"/>
        <w:gridCol w:w="709"/>
        <w:gridCol w:w="714"/>
        <w:gridCol w:w="693"/>
      </w:tblGrid>
      <w:tr>
        <w:trPr/>
        <w:tc>
          <w:tcPr>
            <w:tcW w:w="10176" w:type="dxa"/>
            <w:gridSpan w:val="5"/>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color="auto" w:fill="B5FC18" w:val="clear"/>
            <w:tcMar>
              <w:left w:w="-15" w:type="dxa"/>
            </w:tcMar>
            <w:vAlign w:val="center"/>
          </w:tcPr>
          <w:p>
            <w:pPr>
              <w:pStyle w:val="Normal"/>
              <w:spacing w:lineRule="auto" w:line="240" w:before="0" w:after="0"/>
              <w:ind w:left="567" w:hanging="0"/>
              <w:rPr>
                <w:b/>
                <w:b/>
                <w:color w:val="191919"/>
                <w:sz w:val="24"/>
                <w:szCs w:val="24"/>
              </w:rPr>
            </w:pPr>
            <w:bookmarkStart w:id="173" w:name="_Hlk43191039"/>
            <w:bookmarkEnd w:id="173"/>
            <w:r>
              <w:rPr>
                <w:rFonts w:eastAsia="Times New Roman" w:cs="Times New Roman" w:ascii="Times New Roman" w:hAnsi="Times New Roman"/>
                <w:b/>
                <w:color w:val="191919"/>
                <w:sz w:val="24"/>
                <w:szCs w:val="24"/>
              </w:rPr>
              <w:t>СТРАТЕГІЧНА ЦІЛЬ 1</w:t>
            </w:r>
          </w:p>
          <w:p>
            <w:pPr>
              <w:pStyle w:val="Normal"/>
              <w:spacing w:lineRule="auto" w:line="240" w:before="0" w:after="0"/>
              <w:ind w:left="567" w:hanging="0"/>
              <w:rPr>
                <w:b/>
                <w:b/>
                <w:color w:val="191919"/>
                <w:sz w:val="24"/>
                <w:szCs w:val="24"/>
              </w:rPr>
            </w:pPr>
            <w:r>
              <w:rPr>
                <w:rFonts w:eastAsia="Times New Roman" w:cs="Times New Roman" w:ascii="Times New Roman" w:hAnsi="Times New Roman"/>
                <w:b/>
                <w:color w:val="1A1A1A"/>
                <w:sz w:val="24"/>
                <w:szCs w:val="24"/>
                <w:lang w:eastAsia="uk-UA"/>
              </w:rPr>
              <w:t>Економічний розвиток Каховської громади</w:t>
            </w:r>
          </w:p>
        </w:tc>
      </w:tr>
      <w:tr>
        <w:trPr/>
        <w:tc>
          <w:tcPr>
            <w:tcW w:w="8060" w:type="dxa"/>
            <w:gridSpan w:val="2"/>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color="auto" w:fill="FFFFEB" w:val="clear"/>
            <w:tcMar>
              <w:left w:w="-15" w:type="dxa"/>
            </w:tcMar>
            <w:vAlign w:val="center"/>
          </w:tcPr>
          <w:p>
            <w:pPr>
              <w:pStyle w:val="Normal"/>
              <w:spacing w:lineRule="auto" w:line="240" w:before="0" w:after="0"/>
              <w:ind w:firstLine="567"/>
              <w:jc w:val="both"/>
              <w:rPr>
                <w:b/>
                <w:b/>
                <w:color w:val="1A1A1A"/>
                <w:sz w:val="24"/>
                <w:szCs w:val="24"/>
                <w:lang w:eastAsia="uk-UA"/>
              </w:rPr>
            </w:pPr>
            <w:r>
              <w:rPr>
                <w:rFonts w:eastAsia="Times New Roman" w:cs="Times New Roman" w:ascii="Times New Roman" w:hAnsi="Times New Roman"/>
                <w:b/>
                <w:color w:val="1A1A1A"/>
                <w:sz w:val="24"/>
                <w:szCs w:val="24"/>
                <w:lang w:eastAsia="uk-UA"/>
              </w:rPr>
              <w:t>Індикатори впливу</w:t>
            </w:r>
          </w:p>
        </w:tc>
        <w:tc>
          <w:tcPr>
            <w:tcW w:w="709" w:type="dxa"/>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color="auto" w:fill="FFFFEB" w:val="clear"/>
            <w:tcMar>
              <w:left w:w="-15" w:type="dxa"/>
            </w:tcMar>
          </w:tcPr>
          <w:p>
            <w:pPr>
              <w:pStyle w:val="Normal"/>
              <w:spacing w:lineRule="auto" w:line="240" w:before="0" w:after="0"/>
              <w:jc w:val="center"/>
              <w:rPr>
                <w:b/>
                <w:b/>
                <w:color w:val="1A1A1A"/>
                <w:sz w:val="24"/>
                <w:szCs w:val="24"/>
                <w:lang w:eastAsia="uk-UA"/>
              </w:rPr>
            </w:pPr>
            <w:r>
              <w:rPr>
                <w:rFonts w:eastAsia="Times New Roman" w:cs="Times New Roman" w:ascii="Times New Roman" w:hAnsi="Times New Roman"/>
                <w:b/>
                <w:color w:val="1A1A1A"/>
                <w:sz w:val="24"/>
                <w:szCs w:val="24"/>
                <w:lang w:eastAsia="uk-UA"/>
              </w:rPr>
              <w:t>2021</w:t>
            </w:r>
          </w:p>
        </w:tc>
        <w:tc>
          <w:tcPr>
            <w:tcW w:w="714" w:type="dxa"/>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color="auto" w:fill="FFFFEB" w:val="clear"/>
            <w:tcMar>
              <w:left w:w="-15" w:type="dxa"/>
            </w:tcMar>
          </w:tcPr>
          <w:p>
            <w:pPr>
              <w:pStyle w:val="Normal"/>
              <w:spacing w:lineRule="auto" w:line="240" w:before="0" w:after="0"/>
              <w:jc w:val="center"/>
              <w:rPr>
                <w:b/>
                <w:b/>
                <w:color w:val="1A1A1A"/>
                <w:sz w:val="24"/>
                <w:szCs w:val="24"/>
                <w:lang w:eastAsia="uk-UA"/>
              </w:rPr>
            </w:pPr>
            <w:r>
              <w:rPr>
                <w:rFonts w:eastAsia="Times New Roman" w:cs="Times New Roman" w:ascii="Times New Roman" w:hAnsi="Times New Roman"/>
                <w:b/>
                <w:color w:val="1A1A1A"/>
                <w:sz w:val="24"/>
                <w:szCs w:val="24"/>
                <w:lang w:eastAsia="uk-UA"/>
              </w:rPr>
              <w:t>2024</w:t>
            </w:r>
          </w:p>
        </w:tc>
        <w:tc>
          <w:tcPr>
            <w:tcW w:w="693" w:type="dxa"/>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color="auto" w:fill="FFFFEB" w:val="clear"/>
            <w:tcMar>
              <w:left w:w="-15" w:type="dxa"/>
            </w:tcMar>
          </w:tcPr>
          <w:p>
            <w:pPr>
              <w:pStyle w:val="Normal"/>
              <w:spacing w:lineRule="auto" w:line="240" w:before="0" w:after="0"/>
              <w:jc w:val="center"/>
              <w:rPr>
                <w:b/>
                <w:b/>
                <w:color w:val="1A1A1A"/>
                <w:sz w:val="24"/>
                <w:szCs w:val="24"/>
                <w:lang w:eastAsia="uk-UA"/>
              </w:rPr>
            </w:pPr>
            <w:r>
              <w:rPr>
                <w:rFonts w:eastAsia="Times New Roman" w:cs="Times New Roman" w:ascii="Times New Roman" w:hAnsi="Times New Roman"/>
                <w:b/>
                <w:color w:val="1A1A1A"/>
                <w:sz w:val="24"/>
                <w:szCs w:val="24"/>
                <w:lang w:eastAsia="uk-UA"/>
              </w:rPr>
              <w:t>2027</w:t>
            </w:r>
          </w:p>
        </w:tc>
      </w:tr>
      <w:tr>
        <w:trPr>
          <w:trHeight w:val="623" w:hRule="atLeast"/>
        </w:trPr>
        <w:tc>
          <w:tcPr>
            <w:tcW w:w="8060" w:type="dxa"/>
            <w:gridSpan w:val="2"/>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fill="auto" w:val="clear"/>
            <w:tcMar>
              <w:left w:w="-15" w:type="dxa"/>
            </w:tcMar>
            <w:vAlign w:val="center"/>
          </w:tcPr>
          <w:p>
            <w:pPr>
              <w:pStyle w:val="Normal"/>
              <w:numPr>
                <w:ilvl w:val="0"/>
                <w:numId w:val="13"/>
              </w:numPr>
              <w:spacing w:lineRule="auto" w:line="240" w:before="0" w:after="0"/>
              <w:ind w:left="426" w:hanging="360"/>
              <w:jc w:val="both"/>
              <w:rPr>
                <w:color w:val="1A1A1A"/>
                <w:sz w:val="24"/>
                <w:szCs w:val="24"/>
              </w:rPr>
            </w:pPr>
            <w:r>
              <w:rPr>
                <w:rFonts w:eastAsia="Times New Roman" w:cs="Times New Roman" w:ascii="Times New Roman" w:hAnsi="Times New Roman"/>
                <w:color w:val="1A1A1A"/>
                <w:sz w:val="24"/>
                <w:szCs w:val="24"/>
                <w:lang w:eastAsia="ru-RU"/>
              </w:rPr>
              <w:t>Збільшення обсягу продажу продуктів місцевого виробництва</w:t>
            </w:r>
          </w:p>
          <w:p>
            <w:pPr>
              <w:pStyle w:val="Normal"/>
              <w:numPr>
                <w:ilvl w:val="0"/>
                <w:numId w:val="13"/>
              </w:numPr>
              <w:spacing w:lineRule="auto" w:line="240" w:before="0" w:after="0"/>
              <w:ind w:left="426" w:hanging="360"/>
              <w:jc w:val="both"/>
              <w:rPr>
                <w:color w:val="1A1A1A"/>
                <w:sz w:val="24"/>
                <w:szCs w:val="24"/>
              </w:rPr>
            </w:pPr>
            <w:r>
              <w:rPr>
                <w:rFonts w:eastAsia="Times New Roman" w:cs="Times New Roman" w:ascii="Times New Roman" w:hAnsi="Times New Roman"/>
                <w:color w:val="1A1A1A"/>
                <w:sz w:val="24"/>
                <w:szCs w:val="24"/>
                <w:lang w:eastAsia="ru-RU"/>
              </w:rPr>
              <w:t>Створення нових робочих місць</w:t>
            </w:r>
          </w:p>
          <w:p>
            <w:pPr>
              <w:pStyle w:val="Normal"/>
              <w:numPr>
                <w:ilvl w:val="0"/>
                <w:numId w:val="13"/>
              </w:numPr>
              <w:spacing w:lineRule="auto" w:line="240" w:before="0" w:after="120"/>
              <w:ind w:left="425" w:hanging="357"/>
              <w:jc w:val="both"/>
              <w:rPr>
                <w:color w:val="1A1A1A"/>
                <w:sz w:val="24"/>
                <w:szCs w:val="24"/>
              </w:rPr>
            </w:pPr>
            <w:r>
              <w:rPr>
                <w:rFonts w:eastAsia="Times New Roman" w:cs="Times New Roman" w:ascii="Times New Roman" w:hAnsi="Times New Roman"/>
                <w:color w:val="1A1A1A"/>
                <w:sz w:val="24"/>
                <w:szCs w:val="24"/>
                <w:lang w:eastAsia="ru-RU"/>
              </w:rPr>
              <w:t>Збільшення фінансових надходжень до бюджету громади</w:t>
            </w:r>
          </w:p>
        </w:tc>
        <w:tc>
          <w:tcPr>
            <w:tcW w:w="709" w:type="dxa"/>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fill="auto" w:val="clear"/>
            <w:tcMar>
              <w:left w:w="-15" w:type="dxa"/>
            </w:tcMar>
          </w:tcPr>
          <w:p>
            <w:pPr>
              <w:pStyle w:val="Normal"/>
              <w:spacing w:lineRule="auto" w:line="240" w:before="0" w:after="0"/>
              <w:jc w:val="both"/>
              <w:rPr>
                <w:rFonts w:ascii="Times New Roman" w:hAnsi="Times New Roman" w:eastAsia="Times New Roman" w:cs="Times New Roman"/>
                <w:color w:val="1A1A1A"/>
                <w:sz w:val="20"/>
                <w:szCs w:val="20"/>
                <w:lang w:eastAsia="ru-RU"/>
              </w:rPr>
            </w:pPr>
            <w:r>
              <w:rPr>
                <w:rFonts w:eastAsia="Times New Roman" w:cs="Times New Roman" w:ascii="Times New Roman" w:hAnsi="Times New Roman"/>
                <w:color w:val="1A1A1A"/>
                <w:sz w:val="20"/>
                <w:szCs w:val="20"/>
                <w:lang w:eastAsia="ru-RU"/>
              </w:rPr>
            </w:r>
          </w:p>
        </w:tc>
        <w:tc>
          <w:tcPr>
            <w:tcW w:w="714" w:type="dxa"/>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fill="auto" w:val="clear"/>
            <w:tcMar>
              <w:left w:w="-15" w:type="dxa"/>
            </w:tcMar>
          </w:tcPr>
          <w:p>
            <w:pPr>
              <w:pStyle w:val="Normal"/>
              <w:spacing w:lineRule="auto" w:line="240" w:before="0" w:after="0"/>
              <w:jc w:val="both"/>
              <w:rPr>
                <w:rFonts w:ascii="Times New Roman" w:hAnsi="Times New Roman" w:eastAsia="Times New Roman" w:cs="Times New Roman"/>
                <w:color w:val="1A1A1A"/>
                <w:sz w:val="20"/>
                <w:szCs w:val="20"/>
                <w:lang w:eastAsia="ru-RU"/>
              </w:rPr>
            </w:pPr>
            <w:r>
              <w:rPr>
                <w:rFonts w:eastAsia="Times New Roman" w:cs="Times New Roman" w:ascii="Times New Roman" w:hAnsi="Times New Roman"/>
                <w:color w:val="1A1A1A"/>
                <w:sz w:val="20"/>
                <w:szCs w:val="20"/>
                <w:lang w:eastAsia="ru-RU"/>
              </w:rPr>
            </w:r>
          </w:p>
        </w:tc>
        <w:tc>
          <w:tcPr>
            <w:tcW w:w="693" w:type="dxa"/>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fill="auto" w:val="clear"/>
            <w:tcMar>
              <w:left w:w="-15" w:type="dxa"/>
            </w:tcMar>
          </w:tcPr>
          <w:p>
            <w:pPr>
              <w:pStyle w:val="Normal"/>
              <w:spacing w:lineRule="auto" w:line="240" w:before="0" w:after="0"/>
              <w:jc w:val="both"/>
              <w:rPr>
                <w:rFonts w:ascii="Times New Roman" w:hAnsi="Times New Roman" w:eastAsia="Times New Roman" w:cs="Times New Roman"/>
                <w:color w:val="1A1A1A"/>
                <w:sz w:val="20"/>
                <w:szCs w:val="20"/>
                <w:lang w:eastAsia="ru-RU"/>
              </w:rPr>
            </w:pPr>
            <w:r>
              <w:rPr>
                <w:rFonts w:eastAsia="Times New Roman" w:cs="Times New Roman" w:ascii="Times New Roman" w:hAnsi="Times New Roman"/>
                <w:color w:val="1A1A1A"/>
                <w:sz w:val="20"/>
                <w:szCs w:val="20"/>
                <w:lang w:eastAsia="ru-RU"/>
              </w:rPr>
            </w:r>
          </w:p>
        </w:tc>
      </w:tr>
      <w:tr>
        <w:trPr/>
        <w:tc>
          <w:tcPr>
            <w:tcW w:w="2247" w:type="dxa"/>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color="auto" w:fill="FFFFEB" w:val="clear"/>
            <w:tcMar>
              <w:left w:w="-15" w:type="dxa"/>
            </w:tcMar>
            <w:vAlign w:val="center"/>
          </w:tcPr>
          <w:p>
            <w:pPr>
              <w:pStyle w:val="Normal"/>
              <w:spacing w:lineRule="auto" w:line="240" w:before="0" w:after="0"/>
              <w:ind w:firstLine="75"/>
              <w:jc w:val="both"/>
              <w:rPr>
                <w:b/>
                <w:b/>
                <w:color w:val="1A1A1A"/>
                <w:sz w:val="24"/>
                <w:szCs w:val="24"/>
                <w:lang w:eastAsia="uk-UA"/>
              </w:rPr>
            </w:pPr>
            <w:r>
              <w:rPr>
                <w:rFonts w:eastAsia="Times New Roman" w:cs="Times New Roman" w:ascii="Times New Roman" w:hAnsi="Times New Roman"/>
                <w:b/>
                <w:color w:val="1A1A1A"/>
                <w:sz w:val="24"/>
                <w:szCs w:val="24"/>
                <w:lang w:eastAsia="uk-UA"/>
              </w:rPr>
              <w:t>Оперативні цілі</w:t>
            </w:r>
          </w:p>
        </w:tc>
        <w:tc>
          <w:tcPr>
            <w:tcW w:w="5813" w:type="dxa"/>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color="auto" w:fill="FFFFEB" w:val="clear"/>
            <w:tcMar>
              <w:left w:w="-15" w:type="dxa"/>
            </w:tcMar>
            <w:vAlign w:val="center"/>
          </w:tcPr>
          <w:p>
            <w:pPr>
              <w:pStyle w:val="Normal"/>
              <w:spacing w:lineRule="auto" w:line="240" w:before="0" w:after="0"/>
              <w:ind w:firstLine="567"/>
              <w:jc w:val="both"/>
              <w:rPr>
                <w:b/>
                <w:b/>
                <w:color w:val="1A1A1A"/>
                <w:sz w:val="24"/>
                <w:szCs w:val="24"/>
                <w:lang w:eastAsia="uk-UA"/>
              </w:rPr>
            </w:pPr>
            <w:r>
              <w:rPr>
                <w:rFonts w:eastAsia="Times New Roman" w:cs="Times New Roman" w:ascii="Times New Roman" w:hAnsi="Times New Roman"/>
                <w:b/>
                <w:color w:val="1A1A1A"/>
                <w:sz w:val="24"/>
                <w:szCs w:val="24"/>
                <w:lang w:eastAsia="uk-UA"/>
              </w:rPr>
              <w:t>Індикатори результату</w:t>
            </w:r>
          </w:p>
        </w:tc>
        <w:tc>
          <w:tcPr>
            <w:tcW w:w="709" w:type="dxa"/>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color="auto" w:fill="FFFFEB" w:val="clear"/>
            <w:tcMar>
              <w:left w:w="-15" w:type="dxa"/>
            </w:tcMar>
          </w:tcPr>
          <w:p>
            <w:pPr>
              <w:pStyle w:val="Normal"/>
              <w:spacing w:lineRule="auto" w:line="240" w:before="0" w:after="0"/>
              <w:jc w:val="center"/>
              <w:rPr>
                <w:b/>
                <w:b/>
                <w:color w:val="1A1A1A"/>
                <w:sz w:val="24"/>
                <w:szCs w:val="24"/>
                <w:lang w:eastAsia="uk-UA"/>
              </w:rPr>
            </w:pPr>
            <w:r>
              <w:rPr>
                <w:rFonts w:eastAsia="Times New Roman" w:cs="Times New Roman" w:ascii="Times New Roman" w:hAnsi="Times New Roman"/>
                <w:b/>
                <w:color w:val="1A1A1A"/>
                <w:sz w:val="24"/>
                <w:szCs w:val="24"/>
                <w:lang w:eastAsia="uk-UA"/>
              </w:rPr>
              <w:t>2021</w:t>
            </w:r>
          </w:p>
        </w:tc>
        <w:tc>
          <w:tcPr>
            <w:tcW w:w="714" w:type="dxa"/>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color="auto" w:fill="FFFFEB" w:val="clear"/>
            <w:tcMar>
              <w:left w:w="-15" w:type="dxa"/>
            </w:tcMar>
          </w:tcPr>
          <w:p>
            <w:pPr>
              <w:pStyle w:val="Normal"/>
              <w:spacing w:lineRule="auto" w:line="240" w:before="0" w:after="0"/>
              <w:jc w:val="center"/>
              <w:rPr>
                <w:b/>
                <w:b/>
                <w:color w:val="1A1A1A"/>
                <w:sz w:val="24"/>
                <w:szCs w:val="24"/>
                <w:lang w:eastAsia="uk-UA"/>
              </w:rPr>
            </w:pPr>
            <w:r>
              <w:rPr>
                <w:rFonts w:eastAsia="Times New Roman" w:cs="Times New Roman" w:ascii="Times New Roman" w:hAnsi="Times New Roman"/>
                <w:b/>
                <w:color w:val="1A1A1A"/>
                <w:sz w:val="24"/>
                <w:szCs w:val="24"/>
                <w:lang w:eastAsia="uk-UA"/>
              </w:rPr>
              <w:t>2024</w:t>
            </w:r>
          </w:p>
        </w:tc>
        <w:tc>
          <w:tcPr>
            <w:tcW w:w="693" w:type="dxa"/>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color="auto" w:fill="FFFFEB" w:val="clear"/>
            <w:tcMar>
              <w:left w:w="-15" w:type="dxa"/>
            </w:tcMar>
          </w:tcPr>
          <w:p>
            <w:pPr>
              <w:pStyle w:val="Normal"/>
              <w:spacing w:lineRule="auto" w:line="240" w:before="0" w:after="0"/>
              <w:jc w:val="center"/>
              <w:rPr>
                <w:b/>
                <w:b/>
                <w:color w:val="1A1A1A"/>
                <w:sz w:val="24"/>
                <w:szCs w:val="24"/>
                <w:lang w:eastAsia="uk-UA"/>
              </w:rPr>
            </w:pPr>
            <w:r>
              <w:rPr>
                <w:rFonts w:eastAsia="Times New Roman" w:cs="Times New Roman" w:ascii="Times New Roman" w:hAnsi="Times New Roman"/>
                <w:b/>
                <w:color w:val="1A1A1A"/>
                <w:sz w:val="24"/>
                <w:szCs w:val="24"/>
                <w:lang w:eastAsia="uk-UA"/>
              </w:rPr>
              <w:t>2027</w:t>
            </w:r>
          </w:p>
        </w:tc>
      </w:tr>
      <w:tr>
        <w:trPr/>
        <w:tc>
          <w:tcPr>
            <w:tcW w:w="2247" w:type="dxa"/>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color="auto" w:fill="B5FC18" w:val="clear"/>
            <w:tcMar>
              <w:left w:w="-15" w:type="dxa"/>
            </w:tcMar>
          </w:tcPr>
          <w:p>
            <w:pPr>
              <w:pStyle w:val="Normal"/>
              <w:spacing w:lineRule="auto" w:line="240" w:before="0" w:after="0"/>
              <w:ind w:left="142" w:hanging="0"/>
              <w:rPr>
                <w:color w:val="191919"/>
                <w:sz w:val="24"/>
                <w:szCs w:val="24"/>
              </w:rPr>
            </w:pPr>
            <w:r>
              <w:rPr>
                <w:rFonts w:eastAsia="Times New Roman" w:cs="Times New Roman" w:ascii="Times New Roman" w:hAnsi="Times New Roman"/>
                <w:color w:val="191919"/>
                <w:sz w:val="24"/>
                <w:szCs w:val="24"/>
                <w:lang w:eastAsia="ru-RU"/>
              </w:rPr>
              <w:t>1.1. Створення сприятливого середовища для розвитку місцевого бізнесу</w:t>
            </w:r>
          </w:p>
        </w:tc>
        <w:tc>
          <w:tcPr>
            <w:tcW w:w="5813" w:type="dxa"/>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fill="auto" w:val="clear"/>
            <w:tcMar>
              <w:left w:w="-15" w:type="dxa"/>
            </w:tcMar>
            <w:vAlign w:val="center"/>
          </w:tcPr>
          <w:p>
            <w:pPr>
              <w:pStyle w:val="Normal"/>
              <w:numPr>
                <w:ilvl w:val="0"/>
                <w:numId w:val="13"/>
              </w:numPr>
              <w:spacing w:lineRule="auto" w:line="240" w:before="0" w:after="0"/>
              <w:ind w:left="300" w:hanging="217"/>
              <w:jc w:val="both"/>
              <w:rPr>
                <w:color w:val="1A1A1A"/>
                <w:sz w:val="24"/>
                <w:szCs w:val="24"/>
                <w:lang w:eastAsia="uk-UA"/>
              </w:rPr>
            </w:pPr>
            <w:r>
              <w:rPr>
                <w:rFonts w:eastAsia="Times New Roman" w:cs="Times New Roman" w:ascii="Times New Roman" w:hAnsi="Times New Roman"/>
                <w:color w:val="1A1A1A"/>
                <w:sz w:val="24"/>
                <w:szCs w:val="24"/>
                <w:lang w:eastAsia="uk-UA"/>
              </w:rPr>
              <w:t xml:space="preserve">Кількість підприємств малого та середнього бізнесу на 1000 осіб наявного населення </w:t>
            </w:r>
          </w:p>
          <w:p>
            <w:pPr>
              <w:pStyle w:val="Normal"/>
              <w:numPr>
                <w:ilvl w:val="0"/>
                <w:numId w:val="13"/>
              </w:numPr>
              <w:spacing w:lineRule="auto" w:line="240" w:before="0" w:after="120"/>
              <w:ind w:left="300" w:hanging="217"/>
              <w:jc w:val="both"/>
              <w:rPr>
                <w:color w:val="1A1A1A"/>
                <w:sz w:val="24"/>
                <w:szCs w:val="24"/>
                <w:lang w:eastAsia="uk-UA"/>
              </w:rPr>
            </w:pPr>
            <w:r>
              <w:rPr>
                <w:rFonts w:eastAsia="Times New Roman" w:cs="Times New Roman" w:ascii="Times New Roman" w:hAnsi="Times New Roman"/>
                <w:color w:val="1A1A1A"/>
                <w:sz w:val="24"/>
                <w:szCs w:val="24"/>
                <w:lang w:eastAsia="uk-UA"/>
              </w:rPr>
              <w:t xml:space="preserve">Кількість адміністративних послуг, що надає місцевий ЦНАП </w:t>
            </w:r>
          </w:p>
        </w:tc>
        <w:tc>
          <w:tcPr>
            <w:tcW w:w="709" w:type="dxa"/>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fill="auto" w:val="clear"/>
            <w:tcMar>
              <w:left w:w="-15" w:type="dxa"/>
            </w:tcMar>
          </w:tcPr>
          <w:p>
            <w:pPr>
              <w:pStyle w:val="Normal"/>
              <w:spacing w:lineRule="auto" w:line="240" w:before="0" w:after="0"/>
              <w:jc w:val="both"/>
              <w:rPr>
                <w:rFonts w:ascii="Times New Roman" w:hAnsi="Times New Roman" w:eastAsia="Times New Roman" w:cs="Times New Roman"/>
                <w:color w:val="1A1A1A"/>
                <w:sz w:val="20"/>
                <w:szCs w:val="20"/>
                <w:lang w:eastAsia="ru-RU"/>
              </w:rPr>
            </w:pPr>
            <w:r>
              <w:rPr>
                <w:rFonts w:eastAsia="Times New Roman" w:cs="Times New Roman" w:ascii="Times New Roman" w:hAnsi="Times New Roman"/>
                <w:color w:val="1A1A1A"/>
                <w:sz w:val="20"/>
                <w:szCs w:val="20"/>
                <w:lang w:eastAsia="ru-RU"/>
              </w:rPr>
            </w:r>
          </w:p>
        </w:tc>
        <w:tc>
          <w:tcPr>
            <w:tcW w:w="714" w:type="dxa"/>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fill="auto" w:val="clear"/>
            <w:tcMar>
              <w:left w:w="-15" w:type="dxa"/>
            </w:tcMar>
          </w:tcPr>
          <w:p>
            <w:pPr>
              <w:pStyle w:val="Normal"/>
              <w:spacing w:lineRule="auto" w:line="240" w:before="0" w:after="0"/>
              <w:jc w:val="both"/>
              <w:rPr>
                <w:rFonts w:ascii="Times New Roman" w:hAnsi="Times New Roman" w:eastAsia="Times New Roman" w:cs="Times New Roman"/>
                <w:color w:val="1A1A1A"/>
                <w:sz w:val="20"/>
                <w:szCs w:val="20"/>
                <w:lang w:eastAsia="ru-RU"/>
              </w:rPr>
            </w:pPr>
            <w:r>
              <w:rPr>
                <w:rFonts w:eastAsia="Times New Roman" w:cs="Times New Roman" w:ascii="Times New Roman" w:hAnsi="Times New Roman"/>
                <w:color w:val="1A1A1A"/>
                <w:sz w:val="20"/>
                <w:szCs w:val="20"/>
                <w:lang w:eastAsia="ru-RU"/>
              </w:rPr>
            </w:r>
          </w:p>
        </w:tc>
        <w:tc>
          <w:tcPr>
            <w:tcW w:w="693" w:type="dxa"/>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fill="auto" w:val="clear"/>
            <w:tcMar>
              <w:left w:w="-15" w:type="dxa"/>
            </w:tcMar>
          </w:tcPr>
          <w:p>
            <w:pPr>
              <w:pStyle w:val="Normal"/>
              <w:spacing w:lineRule="auto" w:line="240" w:before="0" w:after="0"/>
              <w:jc w:val="both"/>
              <w:rPr>
                <w:rFonts w:ascii="Times New Roman" w:hAnsi="Times New Roman" w:eastAsia="Times New Roman" w:cs="Times New Roman"/>
                <w:color w:val="1A1A1A"/>
                <w:sz w:val="20"/>
                <w:szCs w:val="20"/>
                <w:lang w:eastAsia="ru-RU"/>
              </w:rPr>
            </w:pPr>
            <w:r>
              <w:rPr>
                <w:rFonts w:eastAsia="Times New Roman" w:cs="Times New Roman" w:ascii="Times New Roman" w:hAnsi="Times New Roman"/>
                <w:color w:val="1A1A1A"/>
                <w:sz w:val="20"/>
                <w:szCs w:val="20"/>
                <w:lang w:eastAsia="ru-RU"/>
              </w:rPr>
            </w:r>
          </w:p>
        </w:tc>
      </w:tr>
      <w:tr>
        <w:trPr/>
        <w:tc>
          <w:tcPr>
            <w:tcW w:w="2247" w:type="dxa"/>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color="auto" w:fill="B5FC18" w:val="clear"/>
            <w:tcMar>
              <w:left w:w="-15" w:type="dxa"/>
            </w:tcMar>
          </w:tcPr>
          <w:p>
            <w:pPr>
              <w:pStyle w:val="Normal"/>
              <w:spacing w:lineRule="auto" w:line="240" w:before="0" w:after="0"/>
              <w:ind w:left="142" w:hanging="0"/>
              <w:rPr>
                <w:color w:val="191919"/>
                <w:sz w:val="24"/>
                <w:szCs w:val="24"/>
              </w:rPr>
            </w:pPr>
            <w:r>
              <w:rPr>
                <w:rFonts w:eastAsia="Times New Roman" w:cs="Times New Roman" w:ascii="Times New Roman" w:hAnsi="Times New Roman"/>
                <w:color w:val="191919"/>
                <w:sz w:val="24"/>
                <w:szCs w:val="24"/>
                <w:lang w:eastAsia="ru-RU"/>
              </w:rPr>
              <w:t>1.2. Розвиток інвестиційного клімату громади</w:t>
            </w:r>
          </w:p>
        </w:tc>
        <w:tc>
          <w:tcPr>
            <w:tcW w:w="5813" w:type="dxa"/>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fill="auto" w:val="clear"/>
            <w:tcMar>
              <w:left w:w="-15" w:type="dxa"/>
            </w:tcMar>
            <w:vAlign w:val="center"/>
          </w:tcPr>
          <w:p>
            <w:pPr>
              <w:pStyle w:val="Normal"/>
              <w:numPr>
                <w:ilvl w:val="0"/>
                <w:numId w:val="13"/>
              </w:numPr>
              <w:spacing w:lineRule="auto" w:line="240" w:before="0" w:after="0"/>
              <w:ind w:left="300" w:hanging="217"/>
              <w:jc w:val="both"/>
              <w:rPr>
                <w:color w:val="1A1A1A"/>
                <w:sz w:val="24"/>
                <w:szCs w:val="24"/>
                <w:lang w:eastAsia="uk-UA"/>
              </w:rPr>
            </w:pPr>
            <w:r>
              <w:rPr>
                <w:rFonts w:eastAsia="Times New Roman" w:cs="Times New Roman" w:ascii="Times New Roman" w:hAnsi="Times New Roman"/>
                <w:color w:val="1A1A1A"/>
                <w:sz w:val="24"/>
                <w:szCs w:val="24"/>
                <w:lang w:eastAsia="uk-UA"/>
              </w:rPr>
              <w:t>Забезпеченість громади документами просторового планування та землевпорядкування</w:t>
            </w:r>
          </w:p>
          <w:p>
            <w:pPr>
              <w:pStyle w:val="Normal"/>
              <w:numPr>
                <w:ilvl w:val="0"/>
                <w:numId w:val="13"/>
              </w:numPr>
              <w:spacing w:lineRule="auto" w:line="240" w:before="0" w:after="0"/>
              <w:ind w:left="300" w:hanging="217"/>
              <w:jc w:val="both"/>
              <w:rPr>
                <w:color w:val="1A1A1A"/>
                <w:sz w:val="24"/>
                <w:szCs w:val="24"/>
                <w:lang w:eastAsia="uk-UA"/>
              </w:rPr>
            </w:pPr>
            <w:r>
              <w:rPr>
                <w:rFonts w:eastAsia="Times New Roman" w:cs="Times New Roman" w:ascii="Times New Roman" w:hAnsi="Times New Roman"/>
                <w:color w:val="1A1A1A"/>
                <w:sz w:val="24"/>
                <w:szCs w:val="24"/>
                <w:lang w:eastAsia="uk-UA"/>
              </w:rPr>
              <w:t>Кількість облаштованих земельних ділянок під інвестиції</w:t>
            </w:r>
          </w:p>
          <w:p>
            <w:pPr>
              <w:pStyle w:val="Normal"/>
              <w:numPr>
                <w:ilvl w:val="0"/>
                <w:numId w:val="13"/>
              </w:numPr>
              <w:spacing w:lineRule="auto" w:line="240" w:before="0" w:after="0"/>
              <w:ind w:left="300" w:hanging="217"/>
              <w:jc w:val="both"/>
              <w:rPr>
                <w:color w:val="1A1A1A"/>
                <w:sz w:val="24"/>
                <w:szCs w:val="24"/>
                <w:lang w:eastAsia="uk-UA"/>
              </w:rPr>
            </w:pPr>
            <w:r>
              <w:rPr>
                <w:rFonts w:eastAsia="Times New Roman" w:cs="Times New Roman" w:ascii="Times New Roman" w:hAnsi="Times New Roman"/>
                <w:color w:val="1A1A1A"/>
                <w:sz w:val="24"/>
                <w:szCs w:val="24"/>
                <w:lang w:eastAsia="uk-UA"/>
              </w:rPr>
              <w:t>Обсяг с/г продукції, що реалізується місцевими підприємствами</w:t>
            </w:r>
          </w:p>
        </w:tc>
        <w:tc>
          <w:tcPr>
            <w:tcW w:w="709" w:type="dxa"/>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fill="auto" w:val="clear"/>
            <w:tcMar>
              <w:left w:w="-15" w:type="dxa"/>
            </w:tcMar>
          </w:tcPr>
          <w:p>
            <w:pPr>
              <w:pStyle w:val="Normal"/>
              <w:spacing w:lineRule="auto" w:line="240" w:before="0" w:after="0"/>
              <w:jc w:val="both"/>
              <w:rPr>
                <w:rFonts w:ascii="Times New Roman" w:hAnsi="Times New Roman" w:eastAsia="Times New Roman" w:cs="Times New Roman"/>
                <w:color w:val="1A1A1A"/>
                <w:sz w:val="20"/>
                <w:szCs w:val="20"/>
                <w:lang w:eastAsia="ru-RU"/>
              </w:rPr>
            </w:pPr>
            <w:r>
              <w:rPr>
                <w:rFonts w:eastAsia="Times New Roman" w:cs="Times New Roman" w:ascii="Times New Roman" w:hAnsi="Times New Roman"/>
                <w:color w:val="1A1A1A"/>
                <w:sz w:val="20"/>
                <w:szCs w:val="20"/>
                <w:lang w:eastAsia="ru-RU"/>
              </w:rPr>
            </w:r>
          </w:p>
        </w:tc>
        <w:tc>
          <w:tcPr>
            <w:tcW w:w="714" w:type="dxa"/>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fill="auto" w:val="clear"/>
            <w:tcMar>
              <w:left w:w="-15" w:type="dxa"/>
            </w:tcMar>
          </w:tcPr>
          <w:p>
            <w:pPr>
              <w:pStyle w:val="Normal"/>
              <w:spacing w:lineRule="auto" w:line="240" w:before="0" w:after="0"/>
              <w:jc w:val="both"/>
              <w:rPr>
                <w:rFonts w:ascii="Times New Roman" w:hAnsi="Times New Roman" w:eastAsia="Times New Roman" w:cs="Times New Roman"/>
                <w:color w:val="1A1A1A"/>
                <w:sz w:val="20"/>
                <w:szCs w:val="20"/>
                <w:lang w:eastAsia="ru-RU"/>
              </w:rPr>
            </w:pPr>
            <w:r>
              <w:rPr>
                <w:rFonts w:eastAsia="Times New Roman" w:cs="Times New Roman" w:ascii="Times New Roman" w:hAnsi="Times New Roman"/>
                <w:color w:val="1A1A1A"/>
                <w:sz w:val="20"/>
                <w:szCs w:val="20"/>
                <w:lang w:eastAsia="ru-RU"/>
              </w:rPr>
            </w:r>
          </w:p>
        </w:tc>
        <w:tc>
          <w:tcPr>
            <w:tcW w:w="693" w:type="dxa"/>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fill="auto" w:val="clear"/>
            <w:tcMar>
              <w:left w:w="-15" w:type="dxa"/>
            </w:tcMar>
          </w:tcPr>
          <w:p>
            <w:pPr>
              <w:pStyle w:val="Normal"/>
              <w:spacing w:lineRule="auto" w:line="240" w:before="0" w:after="0"/>
              <w:jc w:val="both"/>
              <w:rPr>
                <w:rFonts w:ascii="Times New Roman" w:hAnsi="Times New Roman" w:eastAsia="Times New Roman" w:cs="Times New Roman"/>
                <w:color w:val="1A1A1A"/>
                <w:sz w:val="20"/>
                <w:szCs w:val="20"/>
                <w:lang w:eastAsia="ru-RU"/>
              </w:rPr>
            </w:pPr>
            <w:r>
              <w:rPr>
                <w:rFonts w:eastAsia="Times New Roman" w:cs="Times New Roman" w:ascii="Times New Roman" w:hAnsi="Times New Roman"/>
                <w:color w:val="1A1A1A"/>
                <w:sz w:val="20"/>
                <w:szCs w:val="20"/>
                <w:lang w:eastAsia="ru-RU"/>
              </w:rPr>
            </w:r>
          </w:p>
        </w:tc>
      </w:tr>
      <w:tr>
        <w:trPr/>
        <w:tc>
          <w:tcPr>
            <w:tcW w:w="2247" w:type="dxa"/>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color="auto" w:fill="B5FC18" w:val="clear"/>
            <w:tcMar>
              <w:left w:w="-15" w:type="dxa"/>
            </w:tcMar>
          </w:tcPr>
          <w:p>
            <w:pPr>
              <w:pStyle w:val="Normal"/>
              <w:spacing w:lineRule="auto" w:line="240" w:before="0" w:after="0"/>
              <w:ind w:left="142" w:hanging="0"/>
              <w:rPr>
                <w:color w:val="191919"/>
                <w:sz w:val="24"/>
                <w:szCs w:val="24"/>
              </w:rPr>
            </w:pPr>
            <w:r>
              <w:rPr>
                <w:rFonts w:cs="Times New Roman" w:ascii="Times New Roman" w:hAnsi="Times New Roman"/>
                <w:color w:val="191919"/>
                <w:sz w:val="24"/>
                <w:szCs w:val="24"/>
                <w:lang w:eastAsia="ru-RU"/>
              </w:rPr>
              <w:t xml:space="preserve">1.3. </w:t>
            </w:r>
            <w:r>
              <w:rPr>
                <w:rFonts w:eastAsia="Calibri" w:cs="Times New Roman" w:ascii="Times New Roman" w:hAnsi="Times New Roman"/>
                <w:sz w:val="24"/>
                <w:szCs w:val="24"/>
                <w:lang w:eastAsia="ru-RU"/>
              </w:rPr>
              <w:t>Економіка вражень, економіка сенсів</w:t>
            </w:r>
          </w:p>
        </w:tc>
        <w:tc>
          <w:tcPr>
            <w:tcW w:w="5813" w:type="dxa"/>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fill="auto" w:val="clear"/>
            <w:tcMar>
              <w:left w:w="-15" w:type="dxa"/>
            </w:tcMar>
            <w:vAlign w:val="center"/>
          </w:tcPr>
          <w:p>
            <w:pPr>
              <w:pStyle w:val="Normal"/>
              <w:numPr>
                <w:ilvl w:val="0"/>
                <w:numId w:val="13"/>
              </w:numPr>
              <w:spacing w:lineRule="auto" w:line="240" w:before="0" w:after="0"/>
              <w:ind w:left="300" w:hanging="217"/>
              <w:jc w:val="both"/>
              <w:rPr>
                <w:color w:val="1A1A1A"/>
                <w:sz w:val="24"/>
                <w:szCs w:val="24"/>
                <w:lang w:eastAsia="uk-UA"/>
              </w:rPr>
            </w:pPr>
            <w:r>
              <w:rPr>
                <w:rFonts w:eastAsia="Times New Roman" w:cs="Times New Roman" w:ascii="Times New Roman" w:hAnsi="Times New Roman"/>
                <w:color w:val="1A1A1A"/>
                <w:sz w:val="24"/>
                <w:szCs w:val="24"/>
                <w:lang w:eastAsia="uk-UA"/>
              </w:rPr>
              <w:t>Кількість зайнятих у наданні туристичних послуг</w:t>
            </w:r>
          </w:p>
          <w:p>
            <w:pPr>
              <w:pStyle w:val="Normal"/>
              <w:numPr>
                <w:ilvl w:val="0"/>
                <w:numId w:val="13"/>
              </w:numPr>
              <w:spacing w:lineRule="auto" w:line="240" w:before="0" w:after="0"/>
              <w:ind w:left="300" w:hanging="217"/>
              <w:jc w:val="both"/>
              <w:rPr>
                <w:color w:val="1A1A1A"/>
                <w:sz w:val="24"/>
                <w:szCs w:val="24"/>
                <w:lang w:eastAsia="uk-UA"/>
              </w:rPr>
            </w:pPr>
            <w:r>
              <w:rPr>
                <w:rFonts w:eastAsia="Times New Roman" w:cs="Times New Roman" w:ascii="Times New Roman" w:hAnsi="Times New Roman"/>
                <w:color w:val="1A1A1A"/>
                <w:sz w:val="24"/>
                <w:szCs w:val="24"/>
                <w:lang w:eastAsia="uk-UA"/>
              </w:rPr>
              <w:t>Кількість туристичних маршрутів та локацій, створених на території громади</w:t>
            </w:r>
          </w:p>
          <w:p>
            <w:pPr>
              <w:pStyle w:val="Normal"/>
              <w:numPr>
                <w:ilvl w:val="0"/>
                <w:numId w:val="13"/>
              </w:numPr>
              <w:spacing w:lineRule="auto" w:line="240" w:before="0" w:after="0"/>
              <w:ind w:left="300" w:hanging="217"/>
              <w:jc w:val="both"/>
              <w:rPr>
                <w:color w:val="1A1A1A"/>
                <w:sz w:val="24"/>
                <w:szCs w:val="24"/>
                <w:lang w:eastAsia="uk-UA"/>
              </w:rPr>
            </w:pPr>
            <w:r>
              <w:rPr>
                <w:rFonts w:eastAsia="Times New Roman" w:cs="Times New Roman" w:ascii="Times New Roman" w:hAnsi="Times New Roman"/>
                <w:color w:val="1A1A1A"/>
                <w:sz w:val="24"/>
                <w:szCs w:val="24"/>
                <w:lang w:eastAsia="uk-UA"/>
              </w:rPr>
              <w:t>Кількість туристів, які відвідали громаду</w:t>
            </w:r>
          </w:p>
          <w:p>
            <w:pPr>
              <w:pStyle w:val="Normal"/>
              <w:numPr>
                <w:ilvl w:val="0"/>
                <w:numId w:val="13"/>
              </w:numPr>
              <w:spacing w:lineRule="auto" w:line="240" w:before="0" w:after="0"/>
              <w:ind w:left="300" w:hanging="217"/>
              <w:jc w:val="both"/>
              <w:rPr>
                <w:color w:val="1A1A1A"/>
                <w:sz w:val="24"/>
                <w:szCs w:val="24"/>
                <w:lang w:eastAsia="uk-UA"/>
              </w:rPr>
            </w:pPr>
            <w:r>
              <w:rPr>
                <w:rFonts w:eastAsia="Times New Roman" w:cs="Times New Roman" w:ascii="Times New Roman" w:hAnsi="Times New Roman"/>
                <w:color w:val="1A1A1A"/>
                <w:sz w:val="24"/>
                <w:szCs w:val="24"/>
                <w:lang w:eastAsia="uk-UA"/>
              </w:rPr>
              <w:t>Сума надходжень до бюджету від туристичної галузі</w:t>
            </w:r>
          </w:p>
        </w:tc>
        <w:tc>
          <w:tcPr>
            <w:tcW w:w="709" w:type="dxa"/>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fill="auto" w:val="clear"/>
            <w:tcMar>
              <w:left w:w="-15" w:type="dxa"/>
            </w:tcMar>
          </w:tcPr>
          <w:p>
            <w:pPr>
              <w:pStyle w:val="Normal"/>
              <w:spacing w:lineRule="auto" w:line="240" w:before="0" w:after="0"/>
              <w:jc w:val="both"/>
              <w:rPr>
                <w:rFonts w:ascii="Times New Roman" w:hAnsi="Times New Roman" w:eastAsia="Times New Roman" w:cs="Times New Roman"/>
                <w:color w:val="1A1A1A"/>
                <w:sz w:val="20"/>
                <w:szCs w:val="20"/>
                <w:lang w:eastAsia="ru-RU"/>
              </w:rPr>
            </w:pPr>
            <w:r>
              <w:rPr>
                <w:rFonts w:eastAsia="Times New Roman" w:cs="Times New Roman" w:ascii="Times New Roman" w:hAnsi="Times New Roman"/>
                <w:color w:val="1A1A1A"/>
                <w:sz w:val="20"/>
                <w:szCs w:val="20"/>
                <w:lang w:eastAsia="ru-RU"/>
              </w:rPr>
            </w:r>
          </w:p>
        </w:tc>
        <w:tc>
          <w:tcPr>
            <w:tcW w:w="714" w:type="dxa"/>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fill="auto" w:val="clear"/>
            <w:tcMar>
              <w:left w:w="-15" w:type="dxa"/>
            </w:tcMar>
          </w:tcPr>
          <w:p>
            <w:pPr>
              <w:pStyle w:val="Normal"/>
              <w:spacing w:lineRule="auto" w:line="240" w:before="0" w:after="0"/>
              <w:jc w:val="both"/>
              <w:rPr>
                <w:rFonts w:ascii="Times New Roman" w:hAnsi="Times New Roman" w:eastAsia="Times New Roman" w:cs="Times New Roman"/>
                <w:color w:val="1A1A1A"/>
                <w:sz w:val="20"/>
                <w:szCs w:val="20"/>
                <w:lang w:eastAsia="ru-RU"/>
              </w:rPr>
            </w:pPr>
            <w:r>
              <w:rPr>
                <w:rFonts w:eastAsia="Times New Roman" w:cs="Times New Roman" w:ascii="Times New Roman" w:hAnsi="Times New Roman"/>
                <w:color w:val="1A1A1A"/>
                <w:sz w:val="20"/>
                <w:szCs w:val="20"/>
                <w:lang w:eastAsia="ru-RU"/>
              </w:rPr>
            </w:r>
          </w:p>
        </w:tc>
        <w:tc>
          <w:tcPr>
            <w:tcW w:w="693" w:type="dxa"/>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fill="auto" w:val="clear"/>
            <w:tcMar>
              <w:left w:w="-15" w:type="dxa"/>
            </w:tcMar>
          </w:tcPr>
          <w:p>
            <w:pPr>
              <w:pStyle w:val="Normal"/>
              <w:spacing w:lineRule="auto" w:line="240" w:before="0" w:after="0"/>
              <w:jc w:val="both"/>
              <w:rPr>
                <w:rFonts w:ascii="Times New Roman" w:hAnsi="Times New Roman" w:eastAsia="Times New Roman" w:cs="Times New Roman"/>
                <w:color w:val="1A1A1A"/>
                <w:sz w:val="20"/>
                <w:szCs w:val="20"/>
                <w:lang w:eastAsia="ru-RU"/>
              </w:rPr>
            </w:pPr>
            <w:r>
              <w:rPr>
                <w:rFonts w:eastAsia="Times New Roman" w:cs="Times New Roman" w:ascii="Times New Roman" w:hAnsi="Times New Roman"/>
                <w:color w:val="1A1A1A"/>
                <w:sz w:val="20"/>
                <w:szCs w:val="20"/>
                <w:lang w:eastAsia="ru-RU"/>
              </w:rPr>
            </w:r>
          </w:p>
        </w:tc>
      </w:tr>
    </w:tbl>
    <w:p>
      <w:pPr>
        <w:pStyle w:val="Normal"/>
        <w:spacing w:lineRule="auto" w:line="240" w:before="0" w:after="0"/>
        <w:ind w:left="83" w:hanging="0"/>
        <w:jc w:val="both"/>
        <w:rPr>
          <w:rFonts w:ascii="Times New Roman" w:hAnsi="Times New Roman" w:eastAsia="Times New Roman" w:cs="Times New Roman"/>
          <w:color w:val="1A1A1A"/>
          <w:sz w:val="24"/>
          <w:szCs w:val="24"/>
          <w:lang w:eastAsia="uk-UA"/>
        </w:rPr>
      </w:pPr>
      <w:bookmarkStart w:id="174" w:name="_Hlk431910391"/>
      <w:bookmarkStart w:id="175" w:name="_Hlk431910391"/>
      <w:bookmarkEnd w:id="175"/>
      <w:r>
        <w:rPr>
          <w:rFonts w:eastAsia="Times New Roman" w:cs="Times New Roman" w:ascii="Times New Roman" w:hAnsi="Times New Roman"/>
          <w:color w:val="1A1A1A"/>
          <w:sz w:val="24"/>
          <w:szCs w:val="24"/>
          <w:lang w:eastAsia="uk-UA"/>
        </w:rPr>
      </w:r>
    </w:p>
    <w:p>
      <w:pPr>
        <w:pStyle w:val="TableTitle"/>
        <w:numPr>
          <w:ilvl w:val="0"/>
          <w:numId w:val="2"/>
        </w:numPr>
        <w:ind w:left="714" w:hanging="357"/>
        <w:rPr/>
      </w:pPr>
      <w:bookmarkStart w:id="176" w:name="_Toc84967208"/>
      <w:r>
        <w:rPr/>
        <w:t xml:space="preserve">Індикатори впливу та результату Стратегічної цілі </w:t>
      </w:r>
      <w:bookmarkEnd w:id="176"/>
      <w:r>
        <w:rPr>
          <w:lang w:val="ru-RU"/>
        </w:rPr>
        <w:t>2</w:t>
      </w:r>
    </w:p>
    <w:tbl>
      <w:tblPr>
        <w:tblStyle w:val="210"/>
        <w:tblW w:w="10176" w:type="dxa"/>
        <w:jc w:val="left"/>
        <w:tblInd w:w="-25" w:type="dxa"/>
        <w:tblCellMar>
          <w:top w:w="0" w:type="dxa"/>
          <w:left w:w="-15" w:type="dxa"/>
          <w:bottom w:w="0" w:type="dxa"/>
          <w:right w:w="57" w:type="dxa"/>
        </w:tblCellMar>
        <w:tblLook w:val="04a0" w:noVBand="1" w:noHBand="0" w:lastColumn="0" w:firstColumn="1" w:lastRow="0" w:firstRow="1"/>
      </w:tblPr>
      <w:tblGrid>
        <w:gridCol w:w="2122"/>
        <w:gridCol w:w="5937"/>
        <w:gridCol w:w="1"/>
        <w:gridCol w:w="708"/>
        <w:gridCol w:w="1"/>
        <w:gridCol w:w="714"/>
        <w:gridCol w:w="1"/>
        <w:gridCol w:w="692"/>
      </w:tblGrid>
      <w:tr>
        <w:trPr/>
        <w:tc>
          <w:tcPr>
            <w:tcW w:w="10176" w:type="dxa"/>
            <w:gridSpan w:val="8"/>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color="auto" w:fill="FFBD5D" w:val="clear"/>
            <w:tcMar>
              <w:left w:w="-15" w:type="dxa"/>
            </w:tcMar>
            <w:vAlign w:val="center"/>
          </w:tcPr>
          <w:p>
            <w:pPr>
              <w:pStyle w:val="Normal"/>
              <w:spacing w:lineRule="auto" w:line="240" w:before="0" w:after="0"/>
              <w:ind w:firstLine="567"/>
              <w:jc w:val="both"/>
              <w:rPr>
                <w:b/>
                <w:b/>
                <w:color w:val="1A1A1A"/>
                <w:sz w:val="24"/>
                <w:szCs w:val="24"/>
                <w:lang w:val="ru-RU" w:eastAsia="uk-UA"/>
              </w:rPr>
            </w:pPr>
            <w:r>
              <w:rPr>
                <w:rFonts w:eastAsia="Times New Roman" w:cs="Times New Roman" w:ascii="Times New Roman" w:hAnsi="Times New Roman"/>
                <w:b/>
                <w:color w:val="1A1A1A"/>
                <w:sz w:val="24"/>
                <w:szCs w:val="24"/>
                <w:lang w:eastAsia="uk-UA"/>
              </w:rPr>
              <w:t xml:space="preserve">СТРАТЕГІЧНА ЦІЛЬ </w:t>
            </w:r>
            <w:r>
              <w:rPr>
                <w:rFonts w:eastAsia="Times New Roman" w:cs="Times New Roman" w:ascii="Times New Roman" w:hAnsi="Times New Roman"/>
                <w:b/>
                <w:color w:val="1A1A1A"/>
                <w:sz w:val="24"/>
                <w:szCs w:val="24"/>
                <w:lang w:val="ru-RU" w:eastAsia="uk-UA"/>
              </w:rPr>
              <w:t>2</w:t>
            </w:r>
          </w:p>
          <w:p>
            <w:pPr>
              <w:pStyle w:val="Normal"/>
              <w:spacing w:lineRule="auto" w:line="240" w:before="0" w:after="0"/>
              <w:jc w:val="both"/>
              <w:rPr>
                <w:b/>
                <w:b/>
                <w:color w:val="1A1A1A"/>
                <w:sz w:val="24"/>
                <w:szCs w:val="24"/>
                <w:lang w:eastAsia="uk-UA"/>
              </w:rPr>
            </w:pPr>
            <w:r>
              <w:rPr>
                <w:rFonts w:eastAsia="Times New Roman" w:cs="Times New Roman" w:ascii="Times New Roman" w:hAnsi="Times New Roman"/>
                <w:b/>
                <w:color w:val="1A1A1A"/>
                <w:sz w:val="24"/>
                <w:szCs w:val="24"/>
                <w:lang w:eastAsia="uk-UA"/>
              </w:rPr>
              <w:t>Розвиток людського капіталу та соціальної інфраструктури</w:t>
            </w:r>
          </w:p>
        </w:tc>
      </w:tr>
      <w:tr>
        <w:trPr/>
        <w:tc>
          <w:tcPr>
            <w:tcW w:w="8060" w:type="dxa"/>
            <w:gridSpan w:val="3"/>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color="auto" w:fill="FFFFEB" w:val="clear"/>
            <w:tcMar>
              <w:left w:w="-15" w:type="dxa"/>
            </w:tcMar>
            <w:vAlign w:val="center"/>
          </w:tcPr>
          <w:p>
            <w:pPr>
              <w:pStyle w:val="Normal"/>
              <w:spacing w:lineRule="auto" w:line="240" w:before="0" w:after="0"/>
              <w:ind w:firstLine="567"/>
              <w:jc w:val="both"/>
              <w:rPr>
                <w:b/>
                <w:b/>
                <w:color w:val="1A1A1A"/>
                <w:sz w:val="24"/>
                <w:szCs w:val="24"/>
                <w:lang w:eastAsia="uk-UA"/>
              </w:rPr>
            </w:pPr>
            <w:r>
              <w:rPr>
                <w:rFonts w:eastAsia="Times New Roman" w:cs="Times New Roman" w:ascii="Times New Roman" w:hAnsi="Times New Roman"/>
                <w:b/>
                <w:color w:val="1A1A1A"/>
                <w:sz w:val="24"/>
                <w:szCs w:val="24"/>
                <w:lang w:eastAsia="uk-UA"/>
              </w:rPr>
              <w:t>Індикатори впливу</w:t>
            </w:r>
          </w:p>
        </w:tc>
        <w:tc>
          <w:tcPr>
            <w:tcW w:w="709" w:type="dxa"/>
            <w:gridSpan w:val="2"/>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color="auto" w:fill="FFFFEB" w:val="clear"/>
            <w:tcMar>
              <w:left w:w="-15" w:type="dxa"/>
            </w:tcMar>
          </w:tcPr>
          <w:p>
            <w:pPr>
              <w:pStyle w:val="Normal"/>
              <w:spacing w:lineRule="auto" w:line="240" w:before="0" w:after="0"/>
              <w:jc w:val="center"/>
              <w:rPr>
                <w:b/>
                <w:b/>
                <w:color w:val="1A1A1A"/>
                <w:sz w:val="24"/>
                <w:szCs w:val="24"/>
                <w:lang w:eastAsia="uk-UA"/>
              </w:rPr>
            </w:pPr>
            <w:r>
              <w:rPr>
                <w:rFonts w:eastAsia="Times New Roman" w:cs="Times New Roman" w:ascii="Times New Roman" w:hAnsi="Times New Roman"/>
                <w:b/>
                <w:color w:val="1A1A1A"/>
                <w:sz w:val="24"/>
                <w:szCs w:val="24"/>
                <w:lang w:eastAsia="uk-UA"/>
              </w:rPr>
              <w:t>2021</w:t>
            </w:r>
          </w:p>
        </w:tc>
        <w:tc>
          <w:tcPr>
            <w:tcW w:w="715" w:type="dxa"/>
            <w:gridSpan w:val="2"/>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color="auto" w:fill="FFFFEB" w:val="clear"/>
            <w:tcMar>
              <w:left w:w="-15" w:type="dxa"/>
            </w:tcMar>
          </w:tcPr>
          <w:p>
            <w:pPr>
              <w:pStyle w:val="Normal"/>
              <w:spacing w:lineRule="auto" w:line="240" w:before="0" w:after="0"/>
              <w:jc w:val="center"/>
              <w:rPr>
                <w:b/>
                <w:b/>
                <w:color w:val="1A1A1A"/>
                <w:sz w:val="24"/>
                <w:szCs w:val="24"/>
                <w:lang w:eastAsia="uk-UA"/>
              </w:rPr>
            </w:pPr>
            <w:r>
              <w:rPr>
                <w:rFonts w:eastAsia="Times New Roman" w:cs="Times New Roman" w:ascii="Times New Roman" w:hAnsi="Times New Roman"/>
                <w:b/>
                <w:color w:val="1A1A1A"/>
                <w:sz w:val="24"/>
                <w:szCs w:val="24"/>
                <w:lang w:eastAsia="uk-UA"/>
              </w:rPr>
              <w:t>2024</w:t>
            </w:r>
          </w:p>
        </w:tc>
        <w:tc>
          <w:tcPr>
            <w:tcW w:w="692" w:type="dxa"/>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color="auto" w:fill="FFFFEB" w:val="clear"/>
            <w:tcMar>
              <w:left w:w="-15" w:type="dxa"/>
            </w:tcMar>
          </w:tcPr>
          <w:p>
            <w:pPr>
              <w:pStyle w:val="Normal"/>
              <w:spacing w:lineRule="auto" w:line="240" w:before="0" w:after="0"/>
              <w:jc w:val="center"/>
              <w:rPr>
                <w:b/>
                <w:b/>
                <w:color w:val="1A1A1A"/>
                <w:sz w:val="24"/>
                <w:szCs w:val="24"/>
                <w:lang w:eastAsia="uk-UA"/>
              </w:rPr>
            </w:pPr>
            <w:r>
              <w:rPr>
                <w:rFonts w:eastAsia="Times New Roman" w:cs="Times New Roman" w:ascii="Times New Roman" w:hAnsi="Times New Roman"/>
                <w:b/>
                <w:color w:val="1A1A1A"/>
                <w:sz w:val="24"/>
                <w:szCs w:val="24"/>
                <w:lang w:eastAsia="uk-UA"/>
              </w:rPr>
              <w:t>2027</w:t>
            </w:r>
          </w:p>
        </w:tc>
      </w:tr>
      <w:tr>
        <w:trPr/>
        <w:tc>
          <w:tcPr>
            <w:tcW w:w="8060" w:type="dxa"/>
            <w:gridSpan w:val="3"/>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fill="auto" w:val="clear"/>
            <w:tcMar>
              <w:left w:w="-15" w:type="dxa"/>
            </w:tcMar>
            <w:vAlign w:val="center"/>
          </w:tcPr>
          <w:p>
            <w:pPr>
              <w:pStyle w:val="Normal"/>
              <w:numPr>
                <w:ilvl w:val="0"/>
                <w:numId w:val="13"/>
              </w:numPr>
              <w:spacing w:lineRule="auto" w:line="240" w:before="0" w:after="0"/>
              <w:ind w:left="426" w:hanging="360"/>
              <w:jc w:val="both"/>
              <w:rPr>
                <w:color w:val="1A1A1A"/>
                <w:sz w:val="24"/>
                <w:szCs w:val="24"/>
              </w:rPr>
            </w:pPr>
            <w:r>
              <w:rPr>
                <w:rFonts w:eastAsia="Times New Roman" w:cs="Times New Roman" w:ascii="Times New Roman" w:hAnsi="Times New Roman"/>
                <w:color w:val="1A1A1A"/>
                <w:sz w:val="24"/>
                <w:szCs w:val="24"/>
                <w:lang w:eastAsia="ru-RU"/>
              </w:rPr>
              <w:t>Зростання кількості учнів та вихованців у закладах освіти громади</w:t>
            </w:r>
          </w:p>
          <w:p>
            <w:pPr>
              <w:pStyle w:val="Normal"/>
              <w:numPr>
                <w:ilvl w:val="0"/>
                <w:numId w:val="13"/>
              </w:numPr>
              <w:spacing w:lineRule="auto" w:line="240" w:before="0" w:after="120"/>
              <w:ind w:left="425" w:hanging="357"/>
              <w:jc w:val="both"/>
              <w:rPr>
                <w:color w:val="1A1A1A"/>
                <w:sz w:val="24"/>
                <w:szCs w:val="24"/>
              </w:rPr>
            </w:pPr>
            <w:r>
              <w:rPr>
                <w:rFonts w:eastAsia="Times New Roman" w:cs="Times New Roman" w:ascii="Times New Roman" w:hAnsi="Times New Roman"/>
                <w:color w:val="1A1A1A"/>
                <w:sz w:val="24"/>
                <w:szCs w:val="24"/>
                <w:lang w:eastAsia="ru-RU"/>
              </w:rPr>
              <w:t xml:space="preserve">Зростання середньої тривалості життя мешканців </w:t>
            </w:r>
          </w:p>
        </w:tc>
        <w:tc>
          <w:tcPr>
            <w:tcW w:w="709" w:type="dxa"/>
            <w:gridSpan w:val="2"/>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fill="auto" w:val="clear"/>
            <w:tcMar>
              <w:left w:w="-15" w:type="dxa"/>
            </w:tcMar>
          </w:tcPr>
          <w:p>
            <w:pPr>
              <w:pStyle w:val="Normal"/>
              <w:spacing w:lineRule="auto" w:line="240" w:before="0" w:after="0"/>
              <w:jc w:val="both"/>
              <w:rPr>
                <w:rFonts w:ascii="Times New Roman" w:hAnsi="Times New Roman" w:eastAsia="Times New Roman" w:cs="Times New Roman"/>
                <w:color w:val="1A1A1A"/>
                <w:sz w:val="20"/>
                <w:szCs w:val="20"/>
                <w:lang w:eastAsia="ru-RU"/>
              </w:rPr>
            </w:pPr>
            <w:r>
              <w:rPr>
                <w:rFonts w:eastAsia="Times New Roman" w:cs="Times New Roman" w:ascii="Times New Roman" w:hAnsi="Times New Roman"/>
                <w:color w:val="1A1A1A"/>
                <w:sz w:val="20"/>
                <w:szCs w:val="20"/>
                <w:lang w:eastAsia="ru-RU"/>
              </w:rPr>
            </w:r>
          </w:p>
        </w:tc>
        <w:tc>
          <w:tcPr>
            <w:tcW w:w="715" w:type="dxa"/>
            <w:gridSpan w:val="2"/>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fill="auto" w:val="clear"/>
            <w:tcMar>
              <w:left w:w="-15" w:type="dxa"/>
            </w:tcMar>
          </w:tcPr>
          <w:p>
            <w:pPr>
              <w:pStyle w:val="Normal"/>
              <w:spacing w:lineRule="auto" w:line="240" w:before="0" w:after="0"/>
              <w:jc w:val="both"/>
              <w:rPr>
                <w:rFonts w:ascii="Times New Roman" w:hAnsi="Times New Roman" w:eastAsia="Times New Roman" w:cs="Times New Roman"/>
                <w:color w:val="1A1A1A"/>
                <w:sz w:val="20"/>
                <w:szCs w:val="20"/>
                <w:lang w:eastAsia="ru-RU"/>
              </w:rPr>
            </w:pPr>
            <w:r>
              <w:rPr>
                <w:rFonts w:eastAsia="Times New Roman" w:cs="Times New Roman" w:ascii="Times New Roman" w:hAnsi="Times New Roman"/>
                <w:color w:val="1A1A1A"/>
                <w:sz w:val="20"/>
                <w:szCs w:val="20"/>
                <w:lang w:eastAsia="ru-RU"/>
              </w:rPr>
            </w:r>
          </w:p>
        </w:tc>
        <w:tc>
          <w:tcPr>
            <w:tcW w:w="692" w:type="dxa"/>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fill="auto" w:val="clear"/>
            <w:tcMar>
              <w:left w:w="-15" w:type="dxa"/>
            </w:tcMar>
          </w:tcPr>
          <w:p>
            <w:pPr>
              <w:pStyle w:val="Normal"/>
              <w:spacing w:lineRule="auto" w:line="240" w:before="0" w:after="0"/>
              <w:jc w:val="both"/>
              <w:rPr>
                <w:rFonts w:ascii="Times New Roman" w:hAnsi="Times New Roman" w:eastAsia="Times New Roman" w:cs="Times New Roman"/>
                <w:color w:val="1A1A1A"/>
                <w:sz w:val="20"/>
                <w:szCs w:val="20"/>
                <w:lang w:eastAsia="ru-RU"/>
              </w:rPr>
            </w:pPr>
            <w:r>
              <w:rPr>
                <w:rFonts w:eastAsia="Times New Roman" w:cs="Times New Roman" w:ascii="Times New Roman" w:hAnsi="Times New Roman"/>
                <w:color w:val="1A1A1A"/>
                <w:sz w:val="20"/>
                <w:szCs w:val="20"/>
                <w:lang w:eastAsia="ru-RU"/>
              </w:rPr>
            </w:r>
          </w:p>
        </w:tc>
      </w:tr>
      <w:tr>
        <w:trPr/>
        <w:tc>
          <w:tcPr>
            <w:tcW w:w="2122" w:type="dxa"/>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color="auto" w:fill="FFFFEB" w:val="clear"/>
            <w:tcMar>
              <w:left w:w="-15" w:type="dxa"/>
            </w:tcMar>
            <w:vAlign w:val="center"/>
          </w:tcPr>
          <w:p>
            <w:pPr>
              <w:pStyle w:val="Normal"/>
              <w:spacing w:lineRule="auto" w:line="240" w:before="0" w:after="0"/>
              <w:ind w:firstLine="75"/>
              <w:jc w:val="both"/>
              <w:rPr>
                <w:b/>
                <w:b/>
                <w:color w:val="1A1A1A"/>
                <w:sz w:val="24"/>
                <w:szCs w:val="24"/>
                <w:lang w:eastAsia="uk-UA"/>
              </w:rPr>
            </w:pPr>
            <w:r>
              <w:rPr>
                <w:rFonts w:eastAsia="Times New Roman" w:cs="Times New Roman" w:ascii="Times New Roman" w:hAnsi="Times New Roman"/>
                <w:b/>
                <w:color w:val="1A1A1A"/>
                <w:sz w:val="24"/>
                <w:szCs w:val="24"/>
                <w:lang w:eastAsia="uk-UA"/>
              </w:rPr>
              <w:t>Оперативні цілі</w:t>
            </w:r>
          </w:p>
        </w:tc>
        <w:tc>
          <w:tcPr>
            <w:tcW w:w="5937" w:type="dxa"/>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color="auto" w:fill="FFFFEB" w:val="clear"/>
            <w:tcMar>
              <w:left w:w="-15" w:type="dxa"/>
            </w:tcMar>
            <w:vAlign w:val="center"/>
          </w:tcPr>
          <w:p>
            <w:pPr>
              <w:pStyle w:val="Normal"/>
              <w:spacing w:lineRule="auto" w:line="240" w:before="0" w:after="0"/>
              <w:ind w:firstLine="567"/>
              <w:jc w:val="both"/>
              <w:rPr>
                <w:b/>
                <w:b/>
                <w:color w:val="1A1A1A"/>
                <w:sz w:val="24"/>
                <w:szCs w:val="24"/>
                <w:lang w:eastAsia="uk-UA"/>
              </w:rPr>
            </w:pPr>
            <w:r>
              <w:rPr>
                <w:rFonts w:eastAsia="Times New Roman" w:cs="Times New Roman" w:ascii="Times New Roman" w:hAnsi="Times New Roman"/>
                <w:b/>
                <w:color w:val="1A1A1A"/>
                <w:sz w:val="24"/>
                <w:szCs w:val="24"/>
                <w:lang w:eastAsia="uk-UA"/>
              </w:rPr>
              <w:t>Індикатори результату</w:t>
            </w:r>
          </w:p>
        </w:tc>
        <w:tc>
          <w:tcPr>
            <w:tcW w:w="709" w:type="dxa"/>
            <w:gridSpan w:val="2"/>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color="auto" w:fill="FFFFEB" w:val="clear"/>
            <w:tcMar>
              <w:left w:w="-15" w:type="dxa"/>
            </w:tcMar>
          </w:tcPr>
          <w:p>
            <w:pPr>
              <w:pStyle w:val="Normal"/>
              <w:spacing w:lineRule="auto" w:line="240" w:before="0" w:after="0"/>
              <w:jc w:val="center"/>
              <w:rPr>
                <w:b/>
                <w:b/>
                <w:color w:val="1A1A1A"/>
                <w:sz w:val="24"/>
                <w:szCs w:val="24"/>
                <w:lang w:eastAsia="uk-UA"/>
              </w:rPr>
            </w:pPr>
            <w:r>
              <w:rPr>
                <w:rFonts w:eastAsia="Times New Roman" w:cs="Times New Roman" w:ascii="Times New Roman" w:hAnsi="Times New Roman"/>
                <w:b/>
                <w:color w:val="1A1A1A"/>
                <w:sz w:val="24"/>
                <w:szCs w:val="24"/>
                <w:lang w:eastAsia="uk-UA"/>
              </w:rPr>
              <w:t>2021</w:t>
            </w:r>
          </w:p>
        </w:tc>
        <w:tc>
          <w:tcPr>
            <w:tcW w:w="715" w:type="dxa"/>
            <w:gridSpan w:val="2"/>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color="auto" w:fill="FFFFEB" w:val="clear"/>
            <w:tcMar>
              <w:left w:w="-15" w:type="dxa"/>
            </w:tcMar>
          </w:tcPr>
          <w:p>
            <w:pPr>
              <w:pStyle w:val="Normal"/>
              <w:spacing w:lineRule="auto" w:line="240" w:before="0" w:after="0"/>
              <w:jc w:val="center"/>
              <w:rPr>
                <w:b/>
                <w:b/>
                <w:color w:val="1A1A1A"/>
                <w:sz w:val="24"/>
                <w:szCs w:val="24"/>
                <w:lang w:eastAsia="uk-UA"/>
              </w:rPr>
            </w:pPr>
            <w:r>
              <w:rPr>
                <w:rFonts w:eastAsia="Times New Roman" w:cs="Times New Roman" w:ascii="Times New Roman" w:hAnsi="Times New Roman"/>
                <w:b/>
                <w:color w:val="1A1A1A"/>
                <w:sz w:val="24"/>
                <w:szCs w:val="24"/>
                <w:lang w:eastAsia="uk-UA"/>
              </w:rPr>
              <w:t>2024</w:t>
            </w:r>
          </w:p>
        </w:tc>
        <w:tc>
          <w:tcPr>
            <w:tcW w:w="693" w:type="dxa"/>
            <w:gridSpan w:val="2"/>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color="auto" w:fill="FFFFEB" w:val="clear"/>
            <w:tcMar>
              <w:left w:w="-15" w:type="dxa"/>
            </w:tcMar>
          </w:tcPr>
          <w:p>
            <w:pPr>
              <w:pStyle w:val="Normal"/>
              <w:spacing w:lineRule="auto" w:line="240" w:before="0" w:after="0"/>
              <w:jc w:val="center"/>
              <w:rPr>
                <w:b/>
                <w:b/>
                <w:color w:val="1A1A1A"/>
                <w:sz w:val="24"/>
                <w:szCs w:val="24"/>
                <w:lang w:eastAsia="uk-UA"/>
              </w:rPr>
            </w:pPr>
            <w:r>
              <w:rPr>
                <w:rFonts w:eastAsia="Times New Roman" w:cs="Times New Roman" w:ascii="Times New Roman" w:hAnsi="Times New Roman"/>
                <w:b/>
                <w:color w:val="1A1A1A"/>
                <w:sz w:val="24"/>
                <w:szCs w:val="24"/>
                <w:lang w:eastAsia="uk-UA"/>
              </w:rPr>
              <w:t>2027</w:t>
            </w:r>
          </w:p>
        </w:tc>
      </w:tr>
      <w:tr>
        <w:trPr/>
        <w:tc>
          <w:tcPr>
            <w:tcW w:w="2122" w:type="dxa"/>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color="auto" w:fill="FFBD5D" w:val="clear"/>
            <w:tcMar>
              <w:left w:w="-15" w:type="dxa"/>
            </w:tcMar>
          </w:tcPr>
          <w:p>
            <w:pPr>
              <w:pStyle w:val="Normal"/>
              <w:spacing w:lineRule="auto" w:line="240" w:before="0" w:after="0"/>
              <w:ind w:left="142" w:hanging="0"/>
              <w:rPr>
                <w:color w:val="191919"/>
                <w:sz w:val="24"/>
                <w:szCs w:val="24"/>
              </w:rPr>
            </w:pPr>
            <w:r>
              <w:rPr>
                <w:rFonts w:eastAsia="Times New Roman" w:cs="Times New Roman" w:ascii="Times New Roman" w:hAnsi="Times New Roman"/>
                <w:color w:val="191919"/>
                <w:sz w:val="24"/>
                <w:szCs w:val="24"/>
                <w:lang w:eastAsia="ru-RU"/>
              </w:rPr>
              <w:t>2.1. Розвиток освітньої галузі громади</w:t>
            </w:r>
          </w:p>
        </w:tc>
        <w:tc>
          <w:tcPr>
            <w:tcW w:w="5937" w:type="dxa"/>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fill="auto" w:val="clear"/>
            <w:tcMar>
              <w:left w:w="-15" w:type="dxa"/>
            </w:tcMar>
            <w:vAlign w:val="center"/>
          </w:tcPr>
          <w:p>
            <w:pPr>
              <w:pStyle w:val="Normal"/>
              <w:numPr>
                <w:ilvl w:val="0"/>
                <w:numId w:val="13"/>
              </w:numPr>
              <w:spacing w:lineRule="auto" w:line="240" w:before="0" w:after="0"/>
              <w:ind w:left="443" w:hanging="360"/>
              <w:rPr>
                <w:color w:val="1A1A1A"/>
                <w:sz w:val="24"/>
                <w:szCs w:val="24"/>
                <w:lang w:eastAsia="uk-UA"/>
              </w:rPr>
            </w:pPr>
            <w:r>
              <w:rPr>
                <w:rFonts w:eastAsia="Times New Roman" w:cs="Times New Roman" w:ascii="Times New Roman" w:hAnsi="Times New Roman"/>
                <w:color w:val="1A1A1A"/>
                <w:sz w:val="24"/>
                <w:szCs w:val="24"/>
                <w:lang w:eastAsia="uk-UA"/>
              </w:rPr>
              <w:t xml:space="preserve">Рівень складання ЗНО випускниками шкіл громади </w:t>
            </w:r>
          </w:p>
          <w:p>
            <w:pPr>
              <w:pStyle w:val="Normal"/>
              <w:numPr>
                <w:ilvl w:val="0"/>
                <w:numId w:val="13"/>
              </w:numPr>
              <w:spacing w:lineRule="auto" w:line="240" w:before="0" w:after="0"/>
              <w:ind w:left="443" w:hanging="360"/>
              <w:rPr>
                <w:color w:val="1A1A1A"/>
                <w:sz w:val="24"/>
                <w:szCs w:val="24"/>
                <w:lang w:eastAsia="uk-UA"/>
              </w:rPr>
            </w:pPr>
            <w:r>
              <w:rPr>
                <w:rFonts w:eastAsia="Times New Roman" w:cs="Times New Roman" w:ascii="Times New Roman" w:hAnsi="Times New Roman"/>
                <w:color w:val="1A1A1A"/>
                <w:sz w:val="24"/>
                <w:szCs w:val="24"/>
                <w:lang w:eastAsia="uk-UA"/>
              </w:rPr>
              <w:t>Частка дітей дошкільного віку охоплена ДНЗ, у загальній кількості дітей дошкільного віку</w:t>
            </w:r>
          </w:p>
        </w:tc>
        <w:tc>
          <w:tcPr>
            <w:tcW w:w="709" w:type="dxa"/>
            <w:gridSpan w:val="2"/>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fill="auto" w:val="clear"/>
            <w:tcMar>
              <w:left w:w="-15" w:type="dxa"/>
            </w:tcMar>
          </w:tcPr>
          <w:p>
            <w:pPr>
              <w:pStyle w:val="Normal"/>
              <w:spacing w:lineRule="auto" w:line="240" w:before="0" w:after="0"/>
              <w:rPr>
                <w:rFonts w:ascii="Times New Roman" w:hAnsi="Times New Roman" w:eastAsia="Times New Roman" w:cs="Times New Roman"/>
                <w:color w:val="1A1A1A"/>
                <w:sz w:val="20"/>
                <w:szCs w:val="20"/>
                <w:lang w:eastAsia="ru-RU"/>
              </w:rPr>
            </w:pPr>
            <w:r>
              <w:rPr>
                <w:rFonts w:eastAsia="Times New Roman" w:cs="Times New Roman" w:ascii="Times New Roman" w:hAnsi="Times New Roman"/>
                <w:color w:val="1A1A1A"/>
                <w:sz w:val="20"/>
                <w:szCs w:val="20"/>
                <w:lang w:eastAsia="ru-RU"/>
              </w:rPr>
            </w:r>
          </w:p>
        </w:tc>
        <w:tc>
          <w:tcPr>
            <w:tcW w:w="715" w:type="dxa"/>
            <w:gridSpan w:val="2"/>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fill="auto" w:val="clear"/>
            <w:tcMar>
              <w:left w:w="-15" w:type="dxa"/>
            </w:tcMar>
          </w:tcPr>
          <w:p>
            <w:pPr>
              <w:pStyle w:val="Normal"/>
              <w:spacing w:lineRule="auto" w:line="240" w:before="0" w:after="0"/>
              <w:rPr>
                <w:rFonts w:ascii="Times New Roman" w:hAnsi="Times New Roman" w:eastAsia="Times New Roman" w:cs="Times New Roman"/>
                <w:color w:val="1A1A1A"/>
                <w:sz w:val="20"/>
                <w:szCs w:val="20"/>
                <w:lang w:eastAsia="ru-RU"/>
              </w:rPr>
            </w:pPr>
            <w:r>
              <w:rPr>
                <w:rFonts w:eastAsia="Times New Roman" w:cs="Times New Roman" w:ascii="Times New Roman" w:hAnsi="Times New Roman"/>
                <w:color w:val="1A1A1A"/>
                <w:sz w:val="20"/>
                <w:szCs w:val="20"/>
                <w:lang w:eastAsia="ru-RU"/>
              </w:rPr>
            </w:r>
          </w:p>
        </w:tc>
        <w:tc>
          <w:tcPr>
            <w:tcW w:w="693" w:type="dxa"/>
            <w:gridSpan w:val="2"/>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fill="auto" w:val="clear"/>
            <w:tcMar>
              <w:left w:w="-15" w:type="dxa"/>
            </w:tcMar>
          </w:tcPr>
          <w:p>
            <w:pPr>
              <w:pStyle w:val="Normal"/>
              <w:spacing w:lineRule="auto" w:line="240" w:before="0" w:after="0"/>
              <w:rPr>
                <w:rFonts w:ascii="Times New Roman" w:hAnsi="Times New Roman" w:eastAsia="Times New Roman" w:cs="Times New Roman"/>
                <w:color w:val="1A1A1A"/>
                <w:sz w:val="20"/>
                <w:szCs w:val="20"/>
                <w:lang w:eastAsia="ru-RU"/>
              </w:rPr>
            </w:pPr>
            <w:r>
              <w:rPr>
                <w:rFonts w:eastAsia="Times New Roman" w:cs="Times New Roman" w:ascii="Times New Roman" w:hAnsi="Times New Roman"/>
                <w:color w:val="1A1A1A"/>
                <w:sz w:val="20"/>
                <w:szCs w:val="20"/>
                <w:lang w:eastAsia="ru-RU"/>
              </w:rPr>
            </w:r>
          </w:p>
        </w:tc>
      </w:tr>
      <w:tr>
        <w:trPr/>
        <w:tc>
          <w:tcPr>
            <w:tcW w:w="2122" w:type="dxa"/>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color="auto" w:fill="FFBD5D" w:val="clear"/>
            <w:tcMar>
              <w:left w:w="-15" w:type="dxa"/>
            </w:tcMar>
          </w:tcPr>
          <w:p>
            <w:pPr>
              <w:pStyle w:val="Normal"/>
              <w:spacing w:lineRule="auto" w:line="240" w:before="0" w:after="0"/>
              <w:ind w:left="142" w:hanging="0"/>
              <w:rPr>
                <w:color w:val="191919"/>
                <w:sz w:val="24"/>
                <w:szCs w:val="24"/>
              </w:rPr>
            </w:pPr>
            <w:r>
              <w:rPr>
                <w:rFonts w:eastAsia="Times New Roman" w:cs="Times New Roman" w:ascii="Times New Roman" w:hAnsi="Times New Roman"/>
                <w:color w:val="191919"/>
                <w:sz w:val="24"/>
                <w:szCs w:val="24"/>
                <w:lang w:eastAsia="ru-RU"/>
              </w:rPr>
              <w:t>2.2. Сучасна охорона здоров’я та медичні послуги</w:t>
            </w:r>
          </w:p>
        </w:tc>
        <w:tc>
          <w:tcPr>
            <w:tcW w:w="5937" w:type="dxa"/>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fill="auto" w:val="clear"/>
            <w:tcMar>
              <w:left w:w="-15" w:type="dxa"/>
            </w:tcMar>
            <w:vAlign w:val="center"/>
          </w:tcPr>
          <w:p>
            <w:pPr>
              <w:pStyle w:val="Normal"/>
              <w:numPr>
                <w:ilvl w:val="0"/>
                <w:numId w:val="13"/>
              </w:numPr>
              <w:spacing w:lineRule="auto" w:line="240" w:before="0" w:after="0"/>
              <w:ind w:left="425" w:hanging="357"/>
              <w:jc w:val="both"/>
              <w:rPr>
                <w:color w:val="1A1A1A"/>
                <w:sz w:val="24"/>
                <w:szCs w:val="24"/>
                <w:lang w:eastAsia="uk-UA"/>
              </w:rPr>
            </w:pPr>
            <w:r>
              <w:rPr>
                <w:rFonts w:eastAsia="Times New Roman" w:cs="Times New Roman" w:ascii="Times New Roman" w:hAnsi="Times New Roman"/>
                <w:color w:val="1A1A1A"/>
                <w:sz w:val="24"/>
                <w:szCs w:val="24"/>
                <w:lang w:eastAsia="uk-UA"/>
              </w:rPr>
              <w:t>Кількість лікарів загальної практики - сімейних лікарів на 1000 осіб наявного населення</w:t>
            </w:r>
          </w:p>
          <w:p>
            <w:pPr>
              <w:pStyle w:val="Normal"/>
              <w:numPr>
                <w:ilvl w:val="0"/>
                <w:numId w:val="13"/>
              </w:numPr>
              <w:spacing w:lineRule="auto" w:line="240" w:before="0" w:after="0"/>
              <w:ind w:left="443" w:hanging="360"/>
              <w:rPr>
                <w:color w:val="1A1A1A"/>
                <w:sz w:val="24"/>
                <w:szCs w:val="24"/>
                <w:lang w:eastAsia="uk-UA"/>
              </w:rPr>
            </w:pPr>
            <w:r>
              <w:rPr>
                <w:rFonts w:eastAsia="Times New Roman" w:cs="Times New Roman" w:ascii="Times New Roman" w:hAnsi="Times New Roman"/>
                <w:color w:val="1A1A1A"/>
                <w:sz w:val="24"/>
                <w:szCs w:val="24"/>
                <w:lang w:eastAsia="uk-UA"/>
              </w:rPr>
              <w:t>Кількість захворювань на 1000 осіб наявного населення</w:t>
            </w:r>
          </w:p>
        </w:tc>
        <w:tc>
          <w:tcPr>
            <w:tcW w:w="709" w:type="dxa"/>
            <w:gridSpan w:val="2"/>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fill="auto" w:val="clear"/>
            <w:tcMar>
              <w:left w:w="-15" w:type="dxa"/>
            </w:tcMar>
          </w:tcPr>
          <w:p>
            <w:pPr>
              <w:pStyle w:val="Normal"/>
              <w:spacing w:lineRule="auto" w:line="240" w:before="0" w:after="0"/>
              <w:jc w:val="both"/>
              <w:rPr>
                <w:rFonts w:ascii="Times New Roman" w:hAnsi="Times New Roman" w:eastAsia="Times New Roman" w:cs="Times New Roman"/>
                <w:color w:val="1A1A1A"/>
                <w:sz w:val="20"/>
                <w:szCs w:val="20"/>
                <w:lang w:eastAsia="ru-RU"/>
              </w:rPr>
            </w:pPr>
            <w:r>
              <w:rPr>
                <w:rFonts w:eastAsia="Times New Roman" w:cs="Times New Roman" w:ascii="Times New Roman" w:hAnsi="Times New Roman"/>
                <w:color w:val="1A1A1A"/>
                <w:sz w:val="20"/>
                <w:szCs w:val="20"/>
                <w:lang w:eastAsia="ru-RU"/>
              </w:rPr>
            </w:r>
          </w:p>
        </w:tc>
        <w:tc>
          <w:tcPr>
            <w:tcW w:w="715" w:type="dxa"/>
            <w:gridSpan w:val="2"/>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fill="auto" w:val="clear"/>
            <w:tcMar>
              <w:left w:w="-15" w:type="dxa"/>
            </w:tcMar>
          </w:tcPr>
          <w:p>
            <w:pPr>
              <w:pStyle w:val="Normal"/>
              <w:spacing w:lineRule="auto" w:line="240" w:before="0" w:after="0"/>
              <w:jc w:val="both"/>
              <w:rPr>
                <w:rFonts w:ascii="Times New Roman" w:hAnsi="Times New Roman" w:eastAsia="Times New Roman" w:cs="Times New Roman"/>
                <w:color w:val="1A1A1A"/>
                <w:sz w:val="20"/>
                <w:szCs w:val="20"/>
                <w:lang w:eastAsia="ru-RU"/>
              </w:rPr>
            </w:pPr>
            <w:r>
              <w:rPr>
                <w:rFonts w:eastAsia="Times New Roman" w:cs="Times New Roman" w:ascii="Times New Roman" w:hAnsi="Times New Roman"/>
                <w:color w:val="1A1A1A"/>
                <w:sz w:val="20"/>
                <w:szCs w:val="20"/>
                <w:lang w:eastAsia="ru-RU"/>
              </w:rPr>
            </w:r>
          </w:p>
        </w:tc>
        <w:tc>
          <w:tcPr>
            <w:tcW w:w="693" w:type="dxa"/>
            <w:gridSpan w:val="2"/>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fill="auto" w:val="clear"/>
            <w:tcMar>
              <w:left w:w="-15" w:type="dxa"/>
            </w:tcMar>
          </w:tcPr>
          <w:p>
            <w:pPr>
              <w:pStyle w:val="Normal"/>
              <w:spacing w:lineRule="auto" w:line="240" w:before="0" w:after="0"/>
              <w:jc w:val="both"/>
              <w:rPr>
                <w:rFonts w:ascii="Times New Roman" w:hAnsi="Times New Roman" w:eastAsia="Times New Roman" w:cs="Times New Roman"/>
                <w:color w:val="1A1A1A"/>
                <w:sz w:val="20"/>
                <w:szCs w:val="20"/>
                <w:lang w:eastAsia="ru-RU"/>
              </w:rPr>
            </w:pPr>
            <w:r>
              <w:rPr>
                <w:rFonts w:eastAsia="Times New Roman" w:cs="Times New Roman" w:ascii="Times New Roman" w:hAnsi="Times New Roman"/>
                <w:color w:val="1A1A1A"/>
                <w:sz w:val="20"/>
                <w:szCs w:val="20"/>
                <w:lang w:eastAsia="ru-RU"/>
              </w:rPr>
            </w:r>
          </w:p>
        </w:tc>
      </w:tr>
      <w:tr>
        <w:trPr/>
        <w:tc>
          <w:tcPr>
            <w:tcW w:w="2122" w:type="dxa"/>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color="auto" w:fill="FFBD5D" w:val="clear"/>
            <w:tcMar>
              <w:left w:w="-15" w:type="dxa"/>
            </w:tcMar>
          </w:tcPr>
          <w:p>
            <w:pPr>
              <w:pStyle w:val="Normal"/>
              <w:spacing w:lineRule="auto" w:line="240" w:before="0" w:after="0"/>
              <w:ind w:left="142" w:hanging="0"/>
              <w:rPr>
                <w:color w:val="191919"/>
                <w:sz w:val="24"/>
                <w:szCs w:val="24"/>
              </w:rPr>
            </w:pPr>
            <w:r>
              <w:rPr>
                <w:rFonts w:eastAsia="Times New Roman" w:cs="Times New Roman" w:ascii="Times New Roman" w:hAnsi="Times New Roman"/>
                <w:color w:val="191919"/>
                <w:sz w:val="24"/>
                <w:szCs w:val="24"/>
                <w:lang w:eastAsia="ru-RU"/>
              </w:rPr>
              <w:t>2.3</w:t>
            </w:r>
            <w:r>
              <w:rPr>
                <w:rFonts w:eastAsia="Times New Roman" w:cs="Times New Roman" w:ascii="Times New Roman" w:hAnsi="Times New Roman"/>
                <w:color w:val="191919"/>
                <w:sz w:val="24"/>
                <w:szCs w:val="24"/>
                <w:lang w:val="ru-RU" w:eastAsia="ru-RU"/>
              </w:rPr>
              <w:t xml:space="preserve">. </w:t>
            </w:r>
            <w:r>
              <w:rPr>
                <w:rFonts w:eastAsia="Times New Roman" w:cs="Times New Roman" w:ascii="Times New Roman" w:hAnsi="Times New Roman"/>
                <w:lang w:eastAsia="ru-RU"/>
              </w:rPr>
              <w:t xml:space="preserve"> </w:t>
            </w:r>
            <w:r>
              <w:rPr>
                <w:rFonts w:eastAsia="Times New Roman" w:cs="Times New Roman" w:ascii="Times New Roman" w:hAnsi="Times New Roman"/>
                <w:color w:val="191919"/>
                <w:sz w:val="24"/>
                <w:szCs w:val="24"/>
                <w:lang w:eastAsia="ru-RU"/>
              </w:rPr>
              <w:t>Розвиток культури</w:t>
            </w:r>
          </w:p>
        </w:tc>
        <w:tc>
          <w:tcPr>
            <w:tcW w:w="5937" w:type="dxa"/>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fill="auto" w:val="clear"/>
            <w:tcMar>
              <w:left w:w="-15" w:type="dxa"/>
            </w:tcMar>
            <w:vAlign w:val="center"/>
          </w:tcPr>
          <w:p>
            <w:pPr>
              <w:pStyle w:val="Normal"/>
              <w:numPr>
                <w:ilvl w:val="0"/>
                <w:numId w:val="13"/>
              </w:numPr>
              <w:spacing w:lineRule="auto" w:line="240" w:before="0" w:after="0"/>
              <w:ind w:left="443" w:hanging="360"/>
              <w:rPr>
                <w:color w:val="1A1A1A"/>
                <w:sz w:val="24"/>
                <w:szCs w:val="24"/>
                <w:lang w:eastAsia="uk-UA"/>
              </w:rPr>
            </w:pPr>
            <w:r>
              <w:rPr>
                <w:rFonts w:eastAsia="Times New Roman" w:cs="Times New Roman" w:ascii="Times New Roman" w:hAnsi="Times New Roman"/>
                <w:color w:val="1A1A1A"/>
                <w:sz w:val="24"/>
                <w:szCs w:val="24"/>
                <w:lang w:eastAsia="uk-UA"/>
              </w:rPr>
              <w:t>Кількість діючих творчих колективів, гуртків, студій̆</w:t>
            </w:r>
          </w:p>
          <w:p>
            <w:pPr>
              <w:pStyle w:val="Normal"/>
              <w:numPr>
                <w:ilvl w:val="0"/>
                <w:numId w:val="13"/>
              </w:numPr>
              <w:spacing w:lineRule="auto" w:line="240" w:before="0" w:after="0"/>
              <w:ind w:left="443" w:hanging="360"/>
              <w:rPr>
                <w:color w:val="1A1A1A"/>
                <w:sz w:val="24"/>
                <w:szCs w:val="24"/>
                <w:lang w:eastAsia="uk-UA"/>
              </w:rPr>
            </w:pPr>
            <w:r>
              <w:rPr>
                <w:rFonts w:eastAsia="Times New Roman" w:cs="Times New Roman" w:ascii="Times New Roman" w:hAnsi="Times New Roman"/>
                <w:color w:val="1A1A1A"/>
                <w:sz w:val="24"/>
                <w:szCs w:val="24"/>
                <w:lang w:eastAsia="uk-UA"/>
              </w:rPr>
              <w:t>Кількість відвідувачів закладів культури в очній та дистанційній формах</w:t>
            </w:r>
          </w:p>
          <w:p>
            <w:pPr>
              <w:pStyle w:val="Normal"/>
              <w:numPr>
                <w:ilvl w:val="0"/>
                <w:numId w:val="13"/>
              </w:numPr>
              <w:spacing w:lineRule="auto" w:line="240" w:before="0" w:after="0"/>
              <w:ind w:left="443" w:hanging="360"/>
              <w:rPr>
                <w:color w:val="1A1A1A"/>
                <w:sz w:val="24"/>
                <w:szCs w:val="24"/>
                <w:lang w:eastAsia="uk-UA"/>
              </w:rPr>
            </w:pPr>
            <w:r>
              <w:rPr>
                <w:rFonts w:eastAsia="Times New Roman" w:cs="Times New Roman" w:ascii="Times New Roman" w:hAnsi="Times New Roman"/>
                <w:color w:val="1A1A1A"/>
                <w:sz w:val="24"/>
                <w:szCs w:val="24"/>
                <w:lang w:eastAsia="uk-UA"/>
              </w:rPr>
              <w:t>Кількість та місткість об’єктів дозвілля та відпочинку</w:t>
            </w:r>
          </w:p>
        </w:tc>
        <w:tc>
          <w:tcPr>
            <w:tcW w:w="709" w:type="dxa"/>
            <w:gridSpan w:val="2"/>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fill="auto" w:val="clear"/>
            <w:tcMar>
              <w:left w:w="-15" w:type="dxa"/>
            </w:tcMar>
          </w:tcPr>
          <w:p>
            <w:pPr>
              <w:pStyle w:val="Normal"/>
              <w:spacing w:lineRule="auto" w:line="240" w:before="0" w:after="0"/>
              <w:rPr>
                <w:rFonts w:ascii="Times New Roman" w:hAnsi="Times New Roman" w:eastAsia="Times New Roman" w:cs="Times New Roman"/>
                <w:color w:val="1A1A1A"/>
                <w:sz w:val="20"/>
                <w:szCs w:val="20"/>
                <w:lang w:eastAsia="ru-RU"/>
              </w:rPr>
            </w:pPr>
            <w:r>
              <w:rPr>
                <w:rFonts w:eastAsia="Times New Roman" w:cs="Times New Roman" w:ascii="Times New Roman" w:hAnsi="Times New Roman"/>
                <w:color w:val="1A1A1A"/>
                <w:sz w:val="20"/>
                <w:szCs w:val="20"/>
                <w:lang w:eastAsia="ru-RU"/>
              </w:rPr>
            </w:r>
          </w:p>
        </w:tc>
        <w:tc>
          <w:tcPr>
            <w:tcW w:w="715" w:type="dxa"/>
            <w:gridSpan w:val="2"/>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fill="auto" w:val="clear"/>
            <w:tcMar>
              <w:left w:w="-15" w:type="dxa"/>
            </w:tcMar>
          </w:tcPr>
          <w:p>
            <w:pPr>
              <w:pStyle w:val="Normal"/>
              <w:spacing w:lineRule="auto" w:line="240" w:before="0" w:after="0"/>
              <w:rPr>
                <w:rFonts w:ascii="Times New Roman" w:hAnsi="Times New Roman" w:eastAsia="Times New Roman" w:cs="Times New Roman"/>
                <w:color w:val="1A1A1A"/>
                <w:sz w:val="20"/>
                <w:szCs w:val="20"/>
                <w:lang w:eastAsia="ru-RU"/>
              </w:rPr>
            </w:pPr>
            <w:r>
              <w:rPr>
                <w:rFonts w:eastAsia="Times New Roman" w:cs="Times New Roman" w:ascii="Times New Roman" w:hAnsi="Times New Roman"/>
                <w:color w:val="1A1A1A"/>
                <w:sz w:val="20"/>
                <w:szCs w:val="20"/>
                <w:lang w:eastAsia="ru-RU"/>
              </w:rPr>
            </w:r>
          </w:p>
        </w:tc>
        <w:tc>
          <w:tcPr>
            <w:tcW w:w="693" w:type="dxa"/>
            <w:gridSpan w:val="2"/>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fill="auto" w:val="clear"/>
            <w:tcMar>
              <w:left w:w="-15" w:type="dxa"/>
            </w:tcMar>
          </w:tcPr>
          <w:p>
            <w:pPr>
              <w:pStyle w:val="Normal"/>
              <w:spacing w:lineRule="auto" w:line="240" w:before="0" w:after="0"/>
              <w:rPr>
                <w:rFonts w:ascii="Times New Roman" w:hAnsi="Times New Roman" w:eastAsia="Times New Roman" w:cs="Times New Roman"/>
                <w:color w:val="1A1A1A"/>
                <w:sz w:val="20"/>
                <w:szCs w:val="20"/>
                <w:lang w:eastAsia="ru-RU"/>
              </w:rPr>
            </w:pPr>
            <w:r>
              <w:rPr>
                <w:rFonts w:eastAsia="Times New Roman" w:cs="Times New Roman" w:ascii="Times New Roman" w:hAnsi="Times New Roman"/>
                <w:color w:val="1A1A1A"/>
                <w:sz w:val="20"/>
                <w:szCs w:val="20"/>
                <w:lang w:eastAsia="ru-RU"/>
              </w:rPr>
            </w:r>
          </w:p>
        </w:tc>
      </w:tr>
      <w:tr>
        <w:trPr/>
        <w:tc>
          <w:tcPr>
            <w:tcW w:w="2122" w:type="dxa"/>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color="auto" w:fill="FFBD5D" w:val="clear"/>
            <w:tcMar>
              <w:left w:w="-15" w:type="dxa"/>
            </w:tcMar>
          </w:tcPr>
          <w:p>
            <w:pPr>
              <w:pStyle w:val="Normal"/>
              <w:spacing w:lineRule="auto" w:line="240" w:before="0" w:after="0"/>
              <w:ind w:left="142" w:hanging="0"/>
              <w:rPr>
                <w:color w:val="191919"/>
                <w:sz w:val="24"/>
                <w:szCs w:val="24"/>
              </w:rPr>
            </w:pPr>
            <w:r>
              <w:rPr>
                <w:rFonts w:eastAsia="Times New Roman" w:cs="Times New Roman" w:ascii="Times New Roman" w:hAnsi="Times New Roman"/>
                <w:color w:val="191919"/>
                <w:sz w:val="24"/>
                <w:szCs w:val="24"/>
                <w:lang w:eastAsia="ru-RU"/>
              </w:rPr>
              <w:t>2.4.Створення умов для розвитку фізичної культури та спорту</w:t>
            </w:r>
          </w:p>
        </w:tc>
        <w:tc>
          <w:tcPr>
            <w:tcW w:w="5937" w:type="dxa"/>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fill="auto" w:val="clear"/>
            <w:tcMar>
              <w:left w:w="-15" w:type="dxa"/>
            </w:tcMar>
            <w:vAlign w:val="center"/>
          </w:tcPr>
          <w:p>
            <w:pPr>
              <w:pStyle w:val="Normal"/>
              <w:numPr>
                <w:ilvl w:val="0"/>
                <w:numId w:val="13"/>
              </w:numPr>
              <w:spacing w:lineRule="auto" w:line="240" w:before="0" w:after="0"/>
              <w:ind w:left="443" w:hanging="360"/>
              <w:rPr>
                <w:color w:val="1A1A1A"/>
                <w:sz w:val="24"/>
                <w:szCs w:val="24"/>
                <w:lang w:eastAsia="uk-UA"/>
              </w:rPr>
            </w:pPr>
            <w:r>
              <w:rPr>
                <w:rFonts w:eastAsia="Times New Roman" w:cs="Times New Roman" w:ascii="Times New Roman" w:hAnsi="Times New Roman"/>
                <w:color w:val="1A1A1A"/>
                <w:sz w:val="24"/>
                <w:szCs w:val="24"/>
                <w:lang w:eastAsia="uk-UA"/>
              </w:rPr>
              <w:t>Кількість спортивних та ігрових майданчиків/об’єктів, що мають задовільний стан</w:t>
            </w:r>
          </w:p>
          <w:p>
            <w:pPr>
              <w:pStyle w:val="Normal"/>
              <w:numPr>
                <w:ilvl w:val="0"/>
                <w:numId w:val="13"/>
              </w:numPr>
              <w:spacing w:lineRule="auto" w:line="240" w:before="0" w:after="0"/>
              <w:ind w:left="443" w:hanging="360"/>
              <w:rPr>
                <w:color w:val="1A1A1A"/>
                <w:sz w:val="24"/>
                <w:szCs w:val="24"/>
                <w:lang w:eastAsia="uk-UA"/>
              </w:rPr>
            </w:pPr>
            <w:r>
              <w:rPr>
                <w:rFonts w:eastAsia="Times New Roman" w:cs="Times New Roman" w:ascii="Times New Roman" w:hAnsi="Times New Roman"/>
                <w:color w:val="1A1A1A"/>
                <w:sz w:val="24"/>
                <w:szCs w:val="24"/>
                <w:lang w:eastAsia="uk-UA"/>
              </w:rPr>
              <w:t>Кількість відвідувачів спортивних закладів</w:t>
            </w:r>
          </w:p>
        </w:tc>
        <w:tc>
          <w:tcPr>
            <w:tcW w:w="709" w:type="dxa"/>
            <w:gridSpan w:val="2"/>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fill="auto" w:val="clear"/>
            <w:tcMar>
              <w:left w:w="-15" w:type="dxa"/>
            </w:tcMar>
          </w:tcPr>
          <w:p>
            <w:pPr>
              <w:pStyle w:val="Normal"/>
              <w:spacing w:lineRule="auto" w:line="240" w:before="0" w:after="0"/>
              <w:rPr>
                <w:rFonts w:ascii="Times New Roman" w:hAnsi="Times New Roman" w:eastAsia="Times New Roman" w:cs="Times New Roman"/>
                <w:color w:val="1A1A1A"/>
                <w:sz w:val="20"/>
                <w:szCs w:val="20"/>
                <w:lang w:eastAsia="ru-RU"/>
              </w:rPr>
            </w:pPr>
            <w:r>
              <w:rPr>
                <w:rFonts w:eastAsia="Times New Roman" w:cs="Times New Roman" w:ascii="Times New Roman" w:hAnsi="Times New Roman"/>
                <w:color w:val="1A1A1A"/>
                <w:sz w:val="20"/>
                <w:szCs w:val="20"/>
                <w:lang w:eastAsia="ru-RU"/>
              </w:rPr>
            </w:r>
          </w:p>
        </w:tc>
        <w:tc>
          <w:tcPr>
            <w:tcW w:w="715" w:type="dxa"/>
            <w:gridSpan w:val="2"/>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fill="auto" w:val="clear"/>
            <w:tcMar>
              <w:left w:w="-15" w:type="dxa"/>
            </w:tcMar>
          </w:tcPr>
          <w:p>
            <w:pPr>
              <w:pStyle w:val="Normal"/>
              <w:spacing w:lineRule="auto" w:line="240" w:before="0" w:after="0"/>
              <w:rPr>
                <w:rFonts w:ascii="Times New Roman" w:hAnsi="Times New Roman" w:eastAsia="Times New Roman" w:cs="Times New Roman"/>
                <w:color w:val="1A1A1A"/>
                <w:sz w:val="20"/>
                <w:szCs w:val="20"/>
                <w:lang w:eastAsia="ru-RU"/>
              </w:rPr>
            </w:pPr>
            <w:r>
              <w:rPr>
                <w:rFonts w:eastAsia="Times New Roman" w:cs="Times New Roman" w:ascii="Times New Roman" w:hAnsi="Times New Roman"/>
                <w:color w:val="1A1A1A"/>
                <w:sz w:val="20"/>
                <w:szCs w:val="20"/>
                <w:lang w:eastAsia="ru-RU"/>
              </w:rPr>
            </w:r>
          </w:p>
        </w:tc>
        <w:tc>
          <w:tcPr>
            <w:tcW w:w="693" w:type="dxa"/>
            <w:gridSpan w:val="2"/>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fill="auto" w:val="clear"/>
            <w:tcMar>
              <w:left w:w="-15" w:type="dxa"/>
            </w:tcMar>
          </w:tcPr>
          <w:p>
            <w:pPr>
              <w:pStyle w:val="Normal"/>
              <w:spacing w:lineRule="auto" w:line="240" w:before="0" w:after="0"/>
              <w:rPr>
                <w:rFonts w:ascii="Times New Roman" w:hAnsi="Times New Roman" w:eastAsia="Times New Roman" w:cs="Times New Roman"/>
                <w:color w:val="1A1A1A"/>
                <w:sz w:val="20"/>
                <w:szCs w:val="20"/>
                <w:lang w:eastAsia="ru-RU"/>
              </w:rPr>
            </w:pPr>
            <w:r>
              <w:rPr>
                <w:rFonts w:eastAsia="Times New Roman" w:cs="Times New Roman" w:ascii="Times New Roman" w:hAnsi="Times New Roman"/>
                <w:color w:val="1A1A1A"/>
                <w:sz w:val="20"/>
                <w:szCs w:val="20"/>
                <w:lang w:eastAsia="ru-RU"/>
              </w:rPr>
            </w:r>
          </w:p>
        </w:tc>
      </w:tr>
      <w:tr>
        <w:trPr/>
        <w:tc>
          <w:tcPr>
            <w:tcW w:w="2122" w:type="dxa"/>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color="auto" w:fill="FFBD5D" w:val="clear"/>
            <w:tcMar>
              <w:left w:w="-15" w:type="dxa"/>
            </w:tcMar>
          </w:tcPr>
          <w:p>
            <w:pPr>
              <w:pStyle w:val="Normal"/>
              <w:spacing w:lineRule="auto" w:line="240" w:before="0" w:after="0"/>
              <w:ind w:left="142" w:hanging="0"/>
              <w:rPr>
                <w:color w:val="191919"/>
                <w:sz w:val="24"/>
                <w:szCs w:val="24"/>
              </w:rPr>
            </w:pPr>
            <w:r>
              <w:rPr>
                <w:rFonts w:eastAsia="Times New Roman" w:cs="Times New Roman" w:ascii="Times New Roman" w:hAnsi="Times New Roman"/>
                <w:color w:val="191919"/>
                <w:sz w:val="24"/>
                <w:szCs w:val="24"/>
                <w:lang w:eastAsia="ru-RU"/>
              </w:rPr>
              <w:t>2.5. Активна участь мешканців у житті громади та соціальні послуги</w:t>
            </w:r>
          </w:p>
        </w:tc>
        <w:tc>
          <w:tcPr>
            <w:tcW w:w="5937" w:type="dxa"/>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fill="auto" w:val="clear"/>
            <w:tcMar>
              <w:left w:w="-15" w:type="dxa"/>
            </w:tcMar>
            <w:vAlign w:val="center"/>
          </w:tcPr>
          <w:p>
            <w:pPr>
              <w:pStyle w:val="Normal"/>
              <w:numPr>
                <w:ilvl w:val="0"/>
                <w:numId w:val="13"/>
              </w:numPr>
              <w:spacing w:lineRule="auto" w:line="240" w:before="0" w:after="0"/>
              <w:ind w:left="443" w:hanging="360"/>
              <w:rPr>
                <w:color w:val="1A1A1A"/>
                <w:sz w:val="24"/>
                <w:szCs w:val="24"/>
                <w:lang w:eastAsia="uk-UA"/>
              </w:rPr>
            </w:pPr>
            <w:r>
              <w:rPr>
                <w:rFonts w:eastAsia="Times New Roman" w:cs="Times New Roman" w:ascii="Times New Roman" w:hAnsi="Times New Roman"/>
                <w:color w:val="1A1A1A"/>
                <w:sz w:val="24"/>
                <w:szCs w:val="24"/>
                <w:lang w:eastAsia="uk-UA"/>
              </w:rPr>
              <w:t>Створення Молодіжного центру</w:t>
            </w:r>
          </w:p>
          <w:p>
            <w:pPr>
              <w:pStyle w:val="Normal"/>
              <w:numPr>
                <w:ilvl w:val="0"/>
                <w:numId w:val="13"/>
              </w:numPr>
              <w:spacing w:lineRule="auto" w:line="240" w:before="0" w:after="0"/>
              <w:ind w:left="443" w:hanging="360"/>
              <w:rPr>
                <w:color w:val="1A1A1A"/>
                <w:sz w:val="24"/>
                <w:szCs w:val="24"/>
                <w:lang w:eastAsia="uk-UA"/>
              </w:rPr>
            </w:pPr>
            <w:r>
              <w:rPr>
                <w:rFonts w:eastAsia="Times New Roman" w:cs="Times New Roman" w:ascii="Times New Roman" w:hAnsi="Times New Roman"/>
                <w:color w:val="1A1A1A"/>
                <w:sz w:val="24"/>
                <w:szCs w:val="24"/>
                <w:lang w:eastAsia="uk-UA"/>
              </w:rPr>
              <w:t>Кількість проєктів, реалізованих за кошти муніципальних грантів</w:t>
            </w:r>
          </w:p>
          <w:p>
            <w:pPr>
              <w:pStyle w:val="Normal"/>
              <w:numPr>
                <w:ilvl w:val="0"/>
                <w:numId w:val="13"/>
              </w:numPr>
              <w:spacing w:lineRule="auto" w:line="240" w:before="0" w:after="0"/>
              <w:ind w:left="443" w:hanging="360"/>
              <w:rPr>
                <w:color w:val="1A1A1A"/>
                <w:sz w:val="24"/>
                <w:szCs w:val="24"/>
                <w:lang w:eastAsia="uk-UA"/>
              </w:rPr>
            </w:pPr>
            <w:r>
              <w:rPr>
                <w:rFonts w:eastAsia="Times New Roman" w:cs="Times New Roman" w:ascii="Times New Roman" w:hAnsi="Times New Roman"/>
                <w:color w:val="1A1A1A"/>
                <w:sz w:val="24"/>
                <w:szCs w:val="24"/>
                <w:lang w:eastAsia="uk-UA"/>
              </w:rPr>
              <w:t>Кількість запроваджених інструментів громадської участі</w:t>
            </w:r>
          </w:p>
        </w:tc>
        <w:tc>
          <w:tcPr>
            <w:tcW w:w="709" w:type="dxa"/>
            <w:gridSpan w:val="2"/>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fill="auto" w:val="clear"/>
            <w:tcMar>
              <w:left w:w="-15" w:type="dxa"/>
            </w:tcMar>
          </w:tcPr>
          <w:p>
            <w:pPr>
              <w:pStyle w:val="Normal"/>
              <w:spacing w:lineRule="auto" w:line="240" w:before="0" w:after="0"/>
              <w:rPr>
                <w:rFonts w:ascii="Times New Roman" w:hAnsi="Times New Roman" w:eastAsia="Times New Roman" w:cs="Times New Roman"/>
                <w:color w:val="1A1A1A"/>
                <w:sz w:val="20"/>
                <w:szCs w:val="20"/>
                <w:lang w:eastAsia="ru-RU"/>
              </w:rPr>
            </w:pPr>
            <w:r>
              <w:rPr>
                <w:rFonts w:eastAsia="Times New Roman" w:cs="Times New Roman" w:ascii="Times New Roman" w:hAnsi="Times New Roman"/>
                <w:color w:val="1A1A1A"/>
                <w:sz w:val="20"/>
                <w:szCs w:val="20"/>
                <w:lang w:eastAsia="ru-RU"/>
              </w:rPr>
            </w:r>
          </w:p>
        </w:tc>
        <w:tc>
          <w:tcPr>
            <w:tcW w:w="715" w:type="dxa"/>
            <w:gridSpan w:val="2"/>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fill="auto" w:val="clear"/>
            <w:tcMar>
              <w:left w:w="-15" w:type="dxa"/>
            </w:tcMar>
          </w:tcPr>
          <w:p>
            <w:pPr>
              <w:pStyle w:val="Normal"/>
              <w:spacing w:lineRule="auto" w:line="240" w:before="0" w:after="0"/>
              <w:rPr>
                <w:rFonts w:ascii="Times New Roman" w:hAnsi="Times New Roman" w:eastAsia="Times New Roman" w:cs="Times New Roman"/>
                <w:color w:val="1A1A1A"/>
                <w:sz w:val="20"/>
                <w:szCs w:val="20"/>
                <w:lang w:eastAsia="ru-RU"/>
              </w:rPr>
            </w:pPr>
            <w:r>
              <w:rPr>
                <w:rFonts w:eastAsia="Times New Roman" w:cs="Times New Roman" w:ascii="Times New Roman" w:hAnsi="Times New Roman"/>
                <w:color w:val="1A1A1A"/>
                <w:sz w:val="20"/>
                <w:szCs w:val="20"/>
                <w:lang w:eastAsia="ru-RU"/>
              </w:rPr>
            </w:r>
          </w:p>
        </w:tc>
        <w:tc>
          <w:tcPr>
            <w:tcW w:w="693" w:type="dxa"/>
            <w:gridSpan w:val="2"/>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fill="auto" w:val="clear"/>
            <w:tcMar>
              <w:left w:w="-15" w:type="dxa"/>
            </w:tcMar>
          </w:tcPr>
          <w:p>
            <w:pPr>
              <w:pStyle w:val="Normal"/>
              <w:spacing w:lineRule="auto" w:line="240" w:before="0" w:after="0"/>
              <w:rPr>
                <w:rFonts w:ascii="Times New Roman" w:hAnsi="Times New Roman" w:eastAsia="Times New Roman" w:cs="Times New Roman"/>
                <w:color w:val="1A1A1A"/>
                <w:sz w:val="20"/>
                <w:szCs w:val="20"/>
                <w:lang w:eastAsia="ru-RU"/>
              </w:rPr>
            </w:pPr>
            <w:bookmarkStart w:id="177" w:name="_Hlk43191130"/>
            <w:bookmarkStart w:id="178" w:name="_Hlk43191130"/>
            <w:bookmarkEnd w:id="178"/>
            <w:r>
              <w:rPr>
                <w:rFonts w:eastAsia="Times New Roman" w:cs="Times New Roman" w:ascii="Times New Roman" w:hAnsi="Times New Roman"/>
                <w:color w:val="1A1A1A"/>
                <w:sz w:val="20"/>
                <w:szCs w:val="20"/>
                <w:lang w:eastAsia="ru-RU"/>
              </w:rPr>
            </w:r>
          </w:p>
        </w:tc>
      </w:tr>
    </w:tbl>
    <w:p>
      <w:pPr>
        <w:pStyle w:val="Normal"/>
        <w:spacing w:lineRule="auto" w:line="240" w:before="0" w:after="0"/>
        <w:ind w:firstLine="709"/>
        <w:jc w:val="both"/>
        <w:rPr>
          <w:rFonts w:ascii="Times New Roman" w:hAnsi="Times New Roman" w:eastAsia="Calibri" w:cs="Times New Roman"/>
          <w:color w:val="1A1A1A"/>
          <w:sz w:val="24"/>
          <w:szCs w:val="24"/>
        </w:rPr>
      </w:pPr>
      <w:r>
        <w:rPr>
          <w:rFonts w:eastAsia="Calibri" w:cs="Times New Roman" w:ascii="Times New Roman" w:hAnsi="Times New Roman"/>
          <w:color w:val="1A1A1A"/>
          <w:sz w:val="24"/>
          <w:szCs w:val="24"/>
        </w:rPr>
      </w:r>
    </w:p>
    <w:p>
      <w:pPr>
        <w:pStyle w:val="TableTitle"/>
        <w:numPr>
          <w:ilvl w:val="0"/>
          <w:numId w:val="2"/>
        </w:numPr>
        <w:ind w:left="714" w:hanging="357"/>
        <w:rPr/>
      </w:pPr>
      <w:bookmarkStart w:id="179" w:name="_Toc84967209"/>
      <w:bookmarkStart w:id="180" w:name="_Toc42617136"/>
      <w:r>
        <w:rPr/>
        <w:t xml:space="preserve">Індикатори впливу та результату Стратегічної цілі </w:t>
      </w:r>
      <w:bookmarkEnd w:id="179"/>
      <w:bookmarkEnd w:id="180"/>
      <w:r>
        <w:rPr>
          <w:lang w:val="ru-RU"/>
        </w:rPr>
        <w:t>3</w:t>
      </w:r>
    </w:p>
    <w:tbl>
      <w:tblPr>
        <w:tblStyle w:val="210"/>
        <w:tblW w:w="10176" w:type="dxa"/>
        <w:jc w:val="left"/>
        <w:tblInd w:w="-25" w:type="dxa"/>
        <w:tblCellMar>
          <w:top w:w="0" w:type="dxa"/>
          <w:left w:w="-15" w:type="dxa"/>
          <w:bottom w:w="0" w:type="dxa"/>
          <w:right w:w="57" w:type="dxa"/>
        </w:tblCellMar>
        <w:tblLook w:val="04a0" w:noVBand="1" w:noHBand="0" w:lastColumn="0" w:firstColumn="1" w:lastRow="0" w:firstRow="1"/>
      </w:tblPr>
      <w:tblGrid>
        <w:gridCol w:w="2212"/>
        <w:gridCol w:w="5848"/>
        <w:gridCol w:w="1"/>
        <w:gridCol w:w="708"/>
        <w:gridCol w:w="1"/>
        <w:gridCol w:w="713"/>
        <w:gridCol w:w="1"/>
        <w:gridCol w:w="692"/>
      </w:tblGrid>
      <w:tr>
        <w:trPr/>
        <w:tc>
          <w:tcPr>
            <w:tcW w:w="10176" w:type="dxa"/>
            <w:gridSpan w:val="8"/>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color="auto" w:fill="A7D9FF" w:val="clear"/>
            <w:tcMar>
              <w:left w:w="-15" w:type="dxa"/>
            </w:tcMar>
            <w:vAlign w:val="center"/>
          </w:tcPr>
          <w:p>
            <w:pPr>
              <w:pStyle w:val="Normal"/>
              <w:spacing w:lineRule="auto" w:line="240" w:before="0" w:after="0"/>
              <w:ind w:firstLine="567"/>
              <w:jc w:val="both"/>
              <w:rPr>
                <w:b/>
                <w:b/>
                <w:color w:val="1A1A1A"/>
                <w:sz w:val="24"/>
                <w:szCs w:val="24"/>
                <w:lang w:val="ru-RU" w:eastAsia="uk-UA"/>
              </w:rPr>
            </w:pPr>
            <w:r>
              <w:rPr>
                <w:rFonts w:eastAsia="Times New Roman" w:cs="Times New Roman" w:ascii="Times New Roman" w:hAnsi="Times New Roman"/>
                <w:b/>
                <w:color w:val="1A1A1A"/>
                <w:sz w:val="24"/>
                <w:szCs w:val="24"/>
                <w:lang w:eastAsia="uk-UA"/>
              </w:rPr>
              <w:t xml:space="preserve">СТРАТЕГІЧНА ЦІЛЬ </w:t>
            </w:r>
            <w:r>
              <w:rPr>
                <w:rFonts w:eastAsia="Times New Roman" w:cs="Times New Roman" w:ascii="Times New Roman" w:hAnsi="Times New Roman"/>
                <w:b/>
                <w:color w:val="1A1A1A"/>
                <w:sz w:val="24"/>
                <w:szCs w:val="24"/>
                <w:lang w:val="ru-RU" w:eastAsia="uk-UA"/>
              </w:rPr>
              <w:t>3</w:t>
            </w:r>
          </w:p>
          <w:p>
            <w:pPr>
              <w:pStyle w:val="Normal"/>
              <w:spacing w:lineRule="auto" w:line="240" w:before="0" w:after="0"/>
              <w:jc w:val="both"/>
              <w:rPr>
                <w:b/>
                <w:b/>
                <w:color w:val="1A1A1A"/>
                <w:sz w:val="24"/>
                <w:szCs w:val="24"/>
                <w:lang w:eastAsia="uk-UA"/>
              </w:rPr>
            </w:pPr>
            <w:r>
              <w:rPr>
                <w:rFonts w:eastAsia="Times New Roman" w:cs="Times New Roman" w:ascii="Times New Roman" w:hAnsi="Times New Roman"/>
                <w:b/>
                <w:color w:val="1A1A1A"/>
                <w:sz w:val="24"/>
                <w:szCs w:val="24"/>
                <w:lang w:eastAsia="uk-UA"/>
              </w:rPr>
              <w:t>Висока якість життя та послуг для мешканців громади</w:t>
            </w:r>
          </w:p>
        </w:tc>
      </w:tr>
      <w:tr>
        <w:trPr/>
        <w:tc>
          <w:tcPr>
            <w:tcW w:w="8060" w:type="dxa"/>
            <w:gridSpan w:val="2"/>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color="auto" w:fill="FFFFEB" w:val="clear"/>
            <w:tcMar>
              <w:left w:w="-15" w:type="dxa"/>
            </w:tcMar>
            <w:vAlign w:val="center"/>
          </w:tcPr>
          <w:p>
            <w:pPr>
              <w:pStyle w:val="Normal"/>
              <w:spacing w:lineRule="auto" w:line="240" w:before="0" w:after="0"/>
              <w:ind w:firstLine="567"/>
              <w:jc w:val="both"/>
              <w:rPr>
                <w:b/>
                <w:b/>
                <w:color w:val="1A1A1A"/>
                <w:sz w:val="24"/>
                <w:szCs w:val="24"/>
                <w:lang w:eastAsia="uk-UA"/>
              </w:rPr>
            </w:pPr>
            <w:r>
              <w:rPr>
                <w:rFonts w:eastAsia="Times New Roman" w:cs="Times New Roman" w:ascii="Times New Roman" w:hAnsi="Times New Roman"/>
                <w:b/>
                <w:color w:val="1A1A1A"/>
                <w:sz w:val="24"/>
                <w:szCs w:val="24"/>
                <w:lang w:eastAsia="uk-UA"/>
              </w:rPr>
              <w:t>Індикатори впливу</w:t>
            </w:r>
          </w:p>
        </w:tc>
        <w:tc>
          <w:tcPr>
            <w:tcW w:w="709" w:type="dxa"/>
            <w:gridSpan w:val="2"/>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color="auto" w:fill="FFFFEB" w:val="clear"/>
            <w:tcMar>
              <w:left w:w="-15" w:type="dxa"/>
            </w:tcMar>
          </w:tcPr>
          <w:p>
            <w:pPr>
              <w:pStyle w:val="Normal"/>
              <w:spacing w:lineRule="auto" w:line="240" w:before="0" w:after="0"/>
              <w:jc w:val="center"/>
              <w:rPr>
                <w:b/>
                <w:b/>
                <w:color w:val="1A1A1A"/>
                <w:sz w:val="24"/>
                <w:szCs w:val="24"/>
                <w:lang w:eastAsia="uk-UA"/>
              </w:rPr>
            </w:pPr>
            <w:r>
              <w:rPr>
                <w:rFonts w:eastAsia="Times New Roman" w:cs="Times New Roman" w:ascii="Times New Roman" w:hAnsi="Times New Roman"/>
                <w:b/>
                <w:color w:val="1A1A1A"/>
                <w:sz w:val="24"/>
                <w:szCs w:val="24"/>
                <w:lang w:eastAsia="uk-UA"/>
              </w:rPr>
              <w:t>2021</w:t>
            </w:r>
          </w:p>
        </w:tc>
        <w:tc>
          <w:tcPr>
            <w:tcW w:w="714" w:type="dxa"/>
            <w:gridSpan w:val="2"/>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color="auto" w:fill="FFFFEB" w:val="clear"/>
            <w:tcMar>
              <w:left w:w="-15" w:type="dxa"/>
            </w:tcMar>
          </w:tcPr>
          <w:p>
            <w:pPr>
              <w:pStyle w:val="Normal"/>
              <w:spacing w:lineRule="auto" w:line="240" w:before="0" w:after="0"/>
              <w:jc w:val="center"/>
              <w:rPr>
                <w:b/>
                <w:b/>
                <w:color w:val="1A1A1A"/>
                <w:sz w:val="24"/>
                <w:szCs w:val="24"/>
                <w:lang w:eastAsia="uk-UA"/>
              </w:rPr>
            </w:pPr>
            <w:r>
              <w:rPr>
                <w:rFonts w:eastAsia="Times New Roman" w:cs="Times New Roman" w:ascii="Times New Roman" w:hAnsi="Times New Roman"/>
                <w:b/>
                <w:color w:val="1A1A1A"/>
                <w:sz w:val="24"/>
                <w:szCs w:val="24"/>
                <w:lang w:eastAsia="uk-UA"/>
              </w:rPr>
              <w:t>2024</w:t>
            </w:r>
          </w:p>
        </w:tc>
        <w:tc>
          <w:tcPr>
            <w:tcW w:w="693" w:type="dxa"/>
            <w:gridSpan w:val="2"/>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color="auto" w:fill="FFFFEB" w:val="clear"/>
            <w:tcMar>
              <w:left w:w="-15" w:type="dxa"/>
            </w:tcMar>
          </w:tcPr>
          <w:p>
            <w:pPr>
              <w:pStyle w:val="Normal"/>
              <w:spacing w:lineRule="auto" w:line="240" w:before="0" w:after="0"/>
              <w:jc w:val="center"/>
              <w:rPr>
                <w:b/>
                <w:b/>
                <w:color w:val="1A1A1A"/>
                <w:sz w:val="24"/>
                <w:szCs w:val="24"/>
                <w:lang w:eastAsia="uk-UA"/>
              </w:rPr>
            </w:pPr>
            <w:r>
              <w:rPr>
                <w:rFonts w:eastAsia="Times New Roman" w:cs="Times New Roman" w:ascii="Times New Roman" w:hAnsi="Times New Roman"/>
                <w:b/>
                <w:color w:val="1A1A1A"/>
                <w:sz w:val="24"/>
                <w:szCs w:val="24"/>
                <w:lang w:eastAsia="uk-UA"/>
              </w:rPr>
              <w:t>2027</w:t>
            </w:r>
          </w:p>
        </w:tc>
      </w:tr>
      <w:tr>
        <w:trPr/>
        <w:tc>
          <w:tcPr>
            <w:tcW w:w="8060" w:type="dxa"/>
            <w:gridSpan w:val="2"/>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fill="auto" w:val="clear"/>
            <w:tcMar>
              <w:left w:w="-15" w:type="dxa"/>
            </w:tcMar>
            <w:vAlign w:val="center"/>
          </w:tcPr>
          <w:p>
            <w:pPr>
              <w:pStyle w:val="Normal"/>
              <w:numPr>
                <w:ilvl w:val="0"/>
                <w:numId w:val="13"/>
              </w:numPr>
              <w:spacing w:lineRule="auto" w:line="240" w:before="0" w:after="0"/>
              <w:ind w:left="426" w:hanging="360"/>
              <w:jc w:val="both"/>
              <w:rPr>
                <w:color w:val="1A1A1A"/>
                <w:sz w:val="24"/>
                <w:szCs w:val="24"/>
              </w:rPr>
            </w:pPr>
            <w:r>
              <w:rPr>
                <w:rFonts w:eastAsia="Times New Roman" w:cs="Times New Roman" w:ascii="Times New Roman" w:hAnsi="Times New Roman"/>
                <w:color w:val="1A1A1A"/>
                <w:sz w:val="24"/>
                <w:szCs w:val="24"/>
                <w:lang w:eastAsia="ru-RU"/>
              </w:rPr>
              <w:t>Зростання кількості мешканців, що проживають у громаді</w:t>
            </w:r>
          </w:p>
          <w:p>
            <w:pPr>
              <w:pStyle w:val="Normal"/>
              <w:numPr>
                <w:ilvl w:val="0"/>
                <w:numId w:val="13"/>
              </w:numPr>
              <w:spacing w:lineRule="auto" w:line="240" w:before="0" w:after="120"/>
              <w:ind w:left="425" w:hanging="357"/>
              <w:jc w:val="both"/>
              <w:rPr>
                <w:color w:val="1A1A1A"/>
                <w:sz w:val="24"/>
                <w:szCs w:val="24"/>
              </w:rPr>
            </w:pPr>
            <w:r>
              <w:rPr>
                <w:rFonts w:eastAsia="Times New Roman" w:cs="Times New Roman" w:ascii="Times New Roman" w:hAnsi="Times New Roman"/>
                <w:color w:val="1A1A1A"/>
                <w:sz w:val="24"/>
                <w:szCs w:val="24"/>
                <w:lang w:eastAsia="ru-RU"/>
              </w:rPr>
              <w:t xml:space="preserve">Зростання вартості житлової нерухомості </w:t>
            </w:r>
          </w:p>
        </w:tc>
        <w:tc>
          <w:tcPr>
            <w:tcW w:w="709" w:type="dxa"/>
            <w:gridSpan w:val="2"/>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fill="auto" w:val="clear"/>
            <w:tcMar>
              <w:left w:w="-15" w:type="dxa"/>
            </w:tcMar>
          </w:tcPr>
          <w:p>
            <w:pPr>
              <w:pStyle w:val="Normal"/>
              <w:spacing w:lineRule="auto" w:line="240" w:before="0" w:after="0"/>
              <w:jc w:val="both"/>
              <w:rPr>
                <w:rFonts w:ascii="Times New Roman" w:hAnsi="Times New Roman" w:eastAsia="Times New Roman" w:cs="Times New Roman"/>
                <w:color w:val="1A1A1A"/>
                <w:sz w:val="20"/>
                <w:szCs w:val="20"/>
                <w:lang w:eastAsia="ru-RU"/>
              </w:rPr>
            </w:pPr>
            <w:r>
              <w:rPr>
                <w:rFonts w:eastAsia="Times New Roman" w:cs="Times New Roman" w:ascii="Times New Roman" w:hAnsi="Times New Roman"/>
                <w:color w:val="1A1A1A"/>
                <w:sz w:val="20"/>
                <w:szCs w:val="20"/>
                <w:lang w:eastAsia="ru-RU"/>
              </w:rPr>
            </w:r>
          </w:p>
        </w:tc>
        <w:tc>
          <w:tcPr>
            <w:tcW w:w="714" w:type="dxa"/>
            <w:gridSpan w:val="2"/>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fill="auto" w:val="clear"/>
            <w:tcMar>
              <w:left w:w="-15" w:type="dxa"/>
            </w:tcMar>
          </w:tcPr>
          <w:p>
            <w:pPr>
              <w:pStyle w:val="Normal"/>
              <w:spacing w:lineRule="auto" w:line="240" w:before="0" w:after="0"/>
              <w:jc w:val="both"/>
              <w:rPr>
                <w:rFonts w:ascii="Times New Roman" w:hAnsi="Times New Roman" w:eastAsia="Times New Roman" w:cs="Times New Roman"/>
                <w:color w:val="1A1A1A"/>
                <w:sz w:val="20"/>
                <w:szCs w:val="20"/>
                <w:lang w:eastAsia="ru-RU"/>
              </w:rPr>
            </w:pPr>
            <w:r>
              <w:rPr>
                <w:rFonts w:eastAsia="Times New Roman" w:cs="Times New Roman" w:ascii="Times New Roman" w:hAnsi="Times New Roman"/>
                <w:color w:val="1A1A1A"/>
                <w:sz w:val="20"/>
                <w:szCs w:val="20"/>
                <w:lang w:eastAsia="ru-RU"/>
              </w:rPr>
            </w:r>
          </w:p>
        </w:tc>
        <w:tc>
          <w:tcPr>
            <w:tcW w:w="693" w:type="dxa"/>
            <w:gridSpan w:val="2"/>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fill="auto" w:val="clear"/>
            <w:tcMar>
              <w:left w:w="-15" w:type="dxa"/>
            </w:tcMar>
          </w:tcPr>
          <w:p>
            <w:pPr>
              <w:pStyle w:val="Normal"/>
              <w:spacing w:lineRule="auto" w:line="240" w:before="0" w:after="0"/>
              <w:jc w:val="both"/>
              <w:rPr>
                <w:rFonts w:ascii="Times New Roman" w:hAnsi="Times New Roman" w:eastAsia="Times New Roman" w:cs="Times New Roman"/>
                <w:color w:val="1A1A1A"/>
                <w:sz w:val="20"/>
                <w:szCs w:val="20"/>
                <w:lang w:eastAsia="ru-RU"/>
              </w:rPr>
            </w:pPr>
            <w:r>
              <w:rPr>
                <w:rFonts w:eastAsia="Times New Roman" w:cs="Times New Roman" w:ascii="Times New Roman" w:hAnsi="Times New Roman"/>
                <w:color w:val="1A1A1A"/>
                <w:sz w:val="20"/>
                <w:szCs w:val="20"/>
                <w:lang w:eastAsia="ru-RU"/>
              </w:rPr>
            </w:r>
          </w:p>
        </w:tc>
      </w:tr>
      <w:tr>
        <w:trPr/>
        <w:tc>
          <w:tcPr>
            <w:tcW w:w="2212" w:type="dxa"/>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color="auto" w:fill="FFFFEB" w:val="clear"/>
            <w:tcMar>
              <w:left w:w="-15" w:type="dxa"/>
            </w:tcMar>
            <w:vAlign w:val="center"/>
          </w:tcPr>
          <w:p>
            <w:pPr>
              <w:pStyle w:val="Normal"/>
              <w:spacing w:lineRule="auto" w:line="240" w:before="0" w:after="0"/>
              <w:ind w:firstLine="217"/>
              <w:jc w:val="both"/>
              <w:rPr>
                <w:b/>
                <w:b/>
                <w:color w:val="1A1A1A"/>
                <w:sz w:val="24"/>
                <w:szCs w:val="24"/>
                <w:lang w:eastAsia="uk-UA"/>
              </w:rPr>
            </w:pPr>
            <w:r>
              <w:rPr>
                <w:rFonts w:eastAsia="Times New Roman" w:cs="Times New Roman" w:ascii="Times New Roman" w:hAnsi="Times New Roman"/>
                <w:b/>
                <w:color w:val="1A1A1A"/>
                <w:sz w:val="24"/>
                <w:szCs w:val="24"/>
                <w:lang w:eastAsia="uk-UA"/>
              </w:rPr>
              <w:t>Оперативні цілі</w:t>
            </w:r>
          </w:p>
        </w:tc>
        <w:tc>
          <w:tcPr>
            <w:tcW w:w="5849" w:type="dxa"/>
            <w:gridSpan w:val="2"/>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color="auto" w:fill="FFFFEB" w:val="clear"/>
            <w:tcMar>
              <w:left w:w="-15" w:type="dxa"/>
            </w:tcMar>
            <w:vAlign w:val="center"/>
          </w:tcPr>
          <w:p>
            <w:pPr>
              <w:pStyle w:val="Normal"/>
              <w:spacing w:lineRule="auto" w:line="240" w:before="0" w:after="0"/>
              <w:ind w:firstLine="567"/>
              <w:jc w:val="both"/>
              <w:rPr>
                <w:b/>
                <w:b/>
                <w:color w:val="1A1A1A"/>
                <w:sz w:val="24"/>
                <w:szCs w:val="24"/>
                <w:lang w:eastAsia="uk-UA"/>
              </w:rPr>
            </w:pPr>
            <w:r>
              <w:rPr>
                <w:rFonts w:eastAsia="Times New Roman" w:cs="Times New Roman" w:ascii="Times New Roman" w:hAnsi="Times New Roman"/>
                <w:b/>
                <w:color w:val="1A1A1A"/>
                <w:sz w:val="24"/>
                <w:szCs w:val="24"/>
                <w:lang w:eastAsia="uk-UA"/>
              </w:rPr>
              <w:t>Індикатори результату</w:t>
            </w:r>
          </w:p>
        </w:tc>
        <w:tc>
          <w:tcPr>
            <w:tcW w:w="709" w:type="dxa"/>
            <w:gridSpan w:val="2"/>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color="auto" w:fill="FFFFEB" w:val="clear"/>
            <w:tcMar>
              <w:left w:w="-15" w:type="dxa"/>
            </w:tcMar>
          </w:tcPr>
          <w:p>
            <w:pPr>
              <w:pStyle w:val="Normal"/>
              <w:spacing w:lineRule="auto" w:line="240" w:before="0" w:after="0"/>
              <w:jc w:val="center"/>
              <w:rPr>
                <w:b/>
                <w:b/>
                <w:color w:val="1A1A1A"/>
                <w:sz w:val="24"/>
                <w:szCs w:val="24"/>
                <w:lang w:eastAsia="uk-UA"/>
              </w:rPr>
            </w:pPr>
            <w:r>
              <w:rPr>
                <w:rFonts w:eastAsia="Times New Roman" w:cs="Times New Roman" w:ascii="Times New Roman" w:hAnsi="Times New Roman"/>
                <w:b/>
                <w:color w:val="1A1A1A"/>
                <w:sz w:val="24"/>
                <w:szCs w:val="24"/>
                <w:lang w:eastAsia="uk-UA"/>
              </w:rPr>
              <w:t>2021</w:t>
            </w:r>
          </w:p>
        </w:tc>
        <w:tc>
          <w:tcPr>
            <w:tcW w:w="714" w:type="dxa"/>
            <w:gridSpan w:val="2"/>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color="auto" w:fill="FFFFEB" w:val="clear"/>
            <w:tcMar>
              <w:left w:w="-15" w:type="dxa"/>
            </w:tcMar>
          </w:tcPr>
          <w:p>
            <w:pPr>
              <w:pStyle w:val="Normal"/>
              <w:spacing w:lineRule="auto" w:line="240" w:before="0" w:after="0"/>
              <w:jc w:val="center"/>
              <w:rPr>
                <w:b/>
                <w:b/>
                <w:color w:val="1A1A1A"/>
                <w:sz w:val="24"/>
                <w:szCs w:val="24"/>
                <w:lang w:eastAsia="uk-UA"/>
              </w:rPr>
            </w:pPr>
            <w:r>
              <w:rPr>
                <w:rFonts w:eastAsia="Times New Roman" w:cs="Times New Roman" w:ascii="Times New Roman" w:hAnsi="Times New Roman"/>
                <w:b/>
                <w:color w:val="1A1A1A"/>
                <w:sz w:val="24"/>
                <w:szCs w:val="24"/>
                <w:lang w:eastAsia="uk-UA"/>
              </w:rPr>
              <w:t>2024</w:t>
            </w:r>
          </w:p>
        </w:tc>
        <w:tc>
          <w:tcPr>
            <w:tcW w:w="692" w:type="dxa"/>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color="auto" w:fill="FFFFEB" w:val="clear"/>
            <w:tcMar>
              <w:left w:w="-15" w:type="dxa"/>
            </w:tcMar>
          </w:tcPr>
          <w:p>
            <w:pPr>
              <w:pStyle w:val="Normal"/>
              <w:spacing w:lineRule="auto" w:line="240" w:before="0" w:after="0"/>
              <w:jc w:val="center"/>
              <w:rPr>
                <w:b/>
                <w:b/>
                <w:color w:val="1A1A1A"/>
                <w:sz w:val="24"/>
                <w:szCs w:val="24"/>
                <w:lang w:eastAsia="uk-UA"/>
              </w:rPr>
            </w:pPr>
            <w:r>
              <w:rPr>
                <w:rFonts w:eastAsia="Times New Roman" w:cs="Times New Roman" w:ascii="Times New Roman" w:hAnsi="Times New Roman"/>
                <w:b/>
                <w:color w:val="1A1A1A"/>
                <w:sz w:val="24"/>
                <w:szCs w:val="24"/>
                <w:lang w:eastAsia="uk-UA"/>
              </w:rPr>
              <w:t>2027</w:t>
            </w:r>
          </w:p>
        </w:tc>
      </w:tr>
      <w:tr>
        <w:trPr/>
        <w:tc>
          <w:tcPr>
            <w:tcW w:w="2212" w:type="dxa"/>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color="auto" w:fill="A7D9FF" w:val="clear"/>
            <w:tcMar>
              <w:left w:w="-15" w:type="dxa"/>
            </w:tcMar>
          </w:tcPr>
          <w:p>
            <w:pPr>
              <w:pStyle w:val="Normal"/>
              <w:spacing w:lineRule="auto" w:line="240" w:before="0" w:after="0"/>
              <w:ind w:left="142" w:hanging="0"/>
              <w:rPr>
                <w:color w:val="191919"/>
                <w:sz w:val="24"/>
                <w:szCs w:val="24"/>
              </w:rPr>
            </w:pPr>
            <w:r>
              <w:rPr>
                <w:rFonts w:eastAsia="Times New Roman" w:cs="Times New Roman" w:ascii="Times New Roman" w:hAnsi="Times New Roman"/>
                <w:color w:val="191919"/>
                <w:sz w:val="24"/>
                <w:szCs w:val="24"/>
                <w:lang w:eastAsia="ru-RU"/>
              </w:rPr>
              <w:t>3.1. Безпека громади і комфорт мешканців</w:t>
            </w:r>
          </w:p>
        </w:tc>
        <w:tc>
          <w:tcPr>
            <w:tcW w:w="5849" w:type="dxa"/>
            <w:gridSpan w:val="2"/>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fill="auto" w:val="clear"/>
            <w:tcMar>
              <w:left w:w="-15" w:type="dxa"/>
            </w:tcMar>
            <w:vAlign w:val="center"/>
          </w:tcPr>
          <w:p>
            <w:pPr>
              <w:pStyle w:val="Normal"/>
              <w:numPr>
                <w:ilvl w:val="0"/>
                <w:numId w:val="13"/>
              </w:numPr>
              <w:spacing w:lineRule="auto" w:line="240" w:before="0" w:after="0"/>
              <w:ind w:left="443" w:hanging="360"/>
              <w:rPr>
                <w:color w:val="1A1A1A"/>
                <w:sz w:val="24"/>
                <w:szCs w:val="24"/>
                <w:lang w:eastAsia="uk-UA"/>
              </w:rPr>
            </w:pPr>
            <w:r>
              <w:rPr>
                <w:rFonts w:eastAsia="Times New Roman" w:cs="Times New Roman" w:ascii="Times New Roman" w:hAnsi="Times New Roman"/>
                <w:color w:val="1A1A1A"/>
                <w:sz w:val="24"/>
                <w:szCs w:val="24"/>
                <w:lang w:eastAsia="uk-UA"/>
              </w:rPr>
              <w:t xml:space="preserve">Кількості правопорушень у громаді </w:t>
            </w:r>
          </w:p>
          <w:p>
            <w:pPr>
              <w:pStyle w:val="Normal"/>
              <w:numPr>
                <w:ilvl w:val="0"/>
                <w:numId w:val="13"/>
              </w:numPr>
              <w:spacing w:lineRule="auto" w:line="240" w:before="0" w:after="0"/>
              <w:ind w:left="443" w:hanging="360"/>
              <w:rPr>
                <w:color w:val="1A1A1A"/>
                <w:sz w:val="24"/>
                <w:szCs w:val="24"/>
                <w:lang w:eastAsia="uk-UA"/>
              </w:rPr>
            </w:pPr>
            <w:r>
              <w:rPr>
                <w:rFonts w:eastAsia="Times New Roman" w:cs="Times New Roman" w:ascii="Times New Roman" w:hAnsi="Times New Roman"/>
                <w:color w:val="1A1A1A"/>
                <w:sz w:val="24"/>
                <w:szCs w:val="24"/>
                <w:lang w:eastAsia="uk-UA"/>
              </w:rPr>
              <w:t xml:space="preserve">Частка «доступних» комунальних будівель </w:t>
            </w:r>
          </w:p>
          <w:p>
            <w:pPr>
              <w:pStyle w:val="Normal"/>
              <w:numPr>
                <w:ilvl w:val="0"/>
                <w:numId w:val="13"/>
              </w:numPr>
              <w:spacing w:lineRule="auto" w:line="240" w:before="0" w:after="0"/>
              <w:ind w:left="443" w:hanging="360"/>
              <w:rPr>
                <w:color w:val="1A1A1A"/>
                <w:sz w:val="24"/>
                <w:szCs w:val="24"/>
                <w:lang w:eastAsia="uk-UA"/>
              </w:rPr>
            </w:pPr>
            <w:r>
              <w:rPr>
                <w:rFonts w:eastAsia="Times New Roman" w:cs="Times New Roman" w:ascii="Times New Roman" w:hAnsi="Times New Roman"/>
                <w:color w:val="1A1A1A"/>
                <w:sz w:val="24"/>
                <w:szCs w:val="24"/>
                <w:lang w:eastAsia="uk-UA"/>
              </w:rPr>
              <w:t>Кількість скарг на стан благоустрою</w:t>
            </w:r>
          </w:p>
        </w:tc>
        <w:tc>
          <w:tcPr>
            <w:tcW w:w="709" w:type="dxa"/>
            <w:gridSpan w:val="2"/>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fill="auto" w:val="clear"/>
            <w:tcMar>
              <w:left w:w="-15" w:type="dxa"/>
            </w:tcMar>
          </w:tcPr>
          <w:p>
            <w:pPr>
              <w:pStyle w:val="Normal"/>
              <w:spacing w:lineRule="auto" w:line="240" w:before="0" w:after="0"/>
              <w:rPr>
                <w:rFonts w:ascii="Times New Roman" w:hAnsi="Times New Roman" w:eastAsia="Times New Roman" w:cs="Times New Roman"/>
                <w:color w:val="1A1A1A"/>
                <w:sz w:val="20"/>
                <w:szCs w:val="20"/>
                <w:lang w:eastAsia="ru-RU"/>
              </w:rPr>
            </w:pPr>
            <w:r>
              <w:rPr>
                <w:rFonts w:eastAsia="Times New Roman" w:cs="Times New Roman" w:ascii="Times New Roman" w:hAnsi="Times New Roman"/>
                <w:color w:val="1A1A1A"/>
                <w:sz w:val="20"/>
                <w:szCs w:val="20"/>
                <w:lang w:eastAsia="ru-RU"/>
              </w:rPr>
            </w:r>
          </w:p>
        </w:tc>
        <w:tc>
          <w:tcPr>
            <w:tcW w:w="714" w:type="dxa"/>
            <w:gridSpan w:val="2"/>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fill="auto" w:val="clear"/>
            <w:tcMar>
              <w:left w:w="-15" w:type="dxa"/>
            </w:tcMar>
          </w:tcPr>
          <w:p>
            <w:pPr>
              <w:pStyle w:val="Normal"/>
              <w:spacing w:lineRule="auto" w:line="240" w:before="0" w:after="0"/>
              <w:rPr>
                <w:rFonts w:ascii="Times New Roman" w:hAnsi="Times New Roman" w:eastAsia="Times New Roman" w:cs="Times New Roman"/>
                <w:color w:val="1A1A1A"/>
                <w:sz w:val="20"/>
                <w:szCs w:val="20"/>
                <w:lang w:eastAsia="ru-RU"/>
              </w:rPr>
            </w:pPr>
            <w:r>
              <w:rPr>
                <w:rFonts w:eastAsia="Times New Roman" w:cs="Times New Roman" w:ascii="Times New Roman" w:hAnsi="Times New Roman"/>
                <w:color w:val="1A1A1A"/>
                <w:sz w:val="20"/>
                <w:szCs w:val="20"/>
                <w:lang w:eastAsia="ru-RU"/>
              </w:rPr>
            </w:r>
          </w:p>
        </w:tc>
        <w:tc>
          <w:tcPr>
            <w:tcW w:w="692" w:type="dxa"/>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fill="auto" w:val="clear"/>
            <w:tcMar>
              <w:left w:w="-15" w:type="dxa"/>
            </w:tcMar>
          </w:tcPr>
          <w:p>
            <w:pPr>
              <w:pStyle w:val="Normal"/>
              <w:spacing w:lineRule="auto" w:line="240" w:before="0" w:after="0"/>
              <w:rPr>
                <w:rFonts w:ascii="Times New Roman" w:hAnsi="Times New Roman" w:eastAsia="Times New Roman" w:cs="Times New Roman"/>
                <w:color w:val="1A1A1A"/>
                <w:sz w:val="20"/>
                <w:szCs w:val="20"/>
                <w:lang w:eastAsia="ru-RU"/>
              </w:rPr>
            </w:pPr>
            <w:r>
              <w:rPr>
                <w:rFonts w:eastAsia="Times New Roman" w:cs="Times New Roman" w:ascii="Times New Roman" w:hAnsi="Times New Roman"/>
                <w:color w:val="1A1A1A"/>
                <w:sz w:val="20"/>
                <w:szCs w:val="20"/>
                <w:lang w:eastAsia="ru-RU"/>
              </w:rPr>
            </w:r>
          </w:p>
        </w:tc>
      </w:tr>
      <w:tr>
        <w:trPr/>
        <w:tc>
          <w:tcPr>
            <w:tcW w:w="2212" w:type="dxa"/>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color="auto" w:fill="A7D9FF" w:val="clear"/>
            <w:tcMar>
              <w:left w:w="-15" w:type="dxa"/>
            </w:tcMar>
          </w:tcPr>
          <w:p>
            <w:pPr>
              <w:pStyle w:val="Normal"/>
              <w:spacing w:lineRule="auto" w:line="240" w:before="0" w:after="0"/>
              <w:ind w:left="142" w:hanging="0"/>
              <w:rPr>
                <w:color w:val="1A1A1A"/>
                <w:sz w:val="24"/>
                <w:szCs w:val="24"/>
              </w:rPr>
            </w:pPr>
            <w:r>
              <w:rPr>
                <w:rFonts w:cs="Times New Roman" w:ascii="Times New Roman" w:hAnsi="Times New Roman"/>
                <w:color w:val="1A1A1A"/>
                <w:sz w:val="24"/>
                <w:szCs w:val="24"/>
                <w:lang w:eastAsia="ru-RU"/>
              </w:rPr>
              <w:t xml:space="preserve">3.2. </w:t>
            </w:r>
            <w:r>
              <w:rPr>
                <w:rFonts w:eastAsia="Calibri" w:cs="Times New Roman" w:ascii="Times New Roman" w:hAnsi="Times New Roman"/>
                <w:sz w:val="24"/>
                <w:szCs w:val="24"/>
                <w:lang w:eastAsia="ru-RU"/>
              </w:rPr>
              <w:t>Комунальне господарство та екологія</w:t>
            </w:r>
          </w:p>
        </w:tc>
        <w:tc>
          <w:tcPr>
            <w:tcW w:w="5849" w:type="dxa"/>
            <w:gridSpan w:val="2"/>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fill="auto" w:val="clear"/>
            <w:tcMar>
              <w:left w:w="-15" w:type="dxa"/>
            </w:tcMar>
            <w:vAlign w:val="center"/>
          </w:tcPr>
          <w:p>
            <w:pPr>
              <w:pStyle w:val="Normal"/>
              <w:numPr>
                <w:ilvl w:val="0"/>
                <w:numId w:val="13"/>
              </w:numPr>
              <w:spacing w:lineRule="auto" w:line="240" w:before="0" w:after="0"/>
              <w:ind w:left="442" w:hanging="357"/>
              <w:jc w:val="both"/>
              <w:rPr>
                <w:color w:val="1A1A1A"/>
                <w:sz w:val="24"/>
                <w:szCs w:val="24"/>
                <w:lang w:eastAsia="uk-UA"/>
              </w:rPr>
            </w:pPr>
            <w:r>
              <w:rPr>
                <w:rFonts w:eastAsia="Times New Roman" w:cs="Times New Roman" w:ascii="Times New Roman" w:hAnsi="Times New Roman"/>
                <w:color w:val="1A1A1A"/>
                <w:sz w:val="24"/>
                <w:szCs w:val="24"/>
                <w:lang w:eastAsia="uk-UA"/>
              </w:rPr>
              <w:t>Частка сортованих та перероблених ТПВ</w:t>
            </w:r>
          </w:p>
          <w:p>
            <w:pPr>
              <w:pStyle w:val="Normal"/>
              <w:numPr>
                <w:ilvl w:val="0"/>
                <w:numId w:val="13"/>
              </w:numPr>
              <w:spacing w:lineRule="auto" w:line="240" w:before="0" w:after="0"/>
              <w:ind w:left="442" w:hanging="357"/>
              <w:jc w:val="both"/>
              <w:rPr>
                <w:color w:val="1A1A1A"/>
                <w:sz w:val="24"/>
                <w:szCs w:val="24"/>
                <w:lang w:eastAsia="uk-UA"/>
              </w:rPr>
            </w:pPr>
            <w:r>
              <w:rPr>
                <w:rFonts w:eastAsia="Times New Roman" w:cs="Times New Roman" w:ascii="Times New Roman" w:hAnsi="Times New Roman"/>
                <w:color w:val="1A1A1A"/>
                <w:sz w:val="24"/>
                <w:szCs w:val="24"/>
                <w:lang w:eastAsia="uk-UA"/>
              </w:rPr>
              <w:t xml:space="preserve">Показники якості питної води в водогонах громади </w:t>
            </w:r>
          </w:p>
          <w:p>
            <w:pPr>
              <w:pStyle w:val="Normal"/>
              <w:numPr>
                <w:ilvl w:val="0"/>
                <w:numId w:val="13"/>
              </w:numPr>
              <w:spacing w:lineRule="auto" w:line="240" w:before="0" w:after="0"/>
              <w:ind w:left="442" w:hanging="357"/>
              <w:jc w:val="both"/>
              <w:rPr>
                <w:color w:val="1A1A1A"/>
                <w:sz w:val="24"/>
                <w:szCs w:val="24"/>
                <w:lang w:eastAsia="uk-UA"/>
              </w:rPr>
            </w:pPr>
            <w:r>
              <w:rPr>
                <w:rFonts w:eastAsia="Times New Roman" w:cs="Times New Roman" w:ascii="Times New Roman" w:hAnsi="Times New Roman"/>
                <w:color w:val="1A1A1A"/>
                <w:sz w:val="24"/>
                <w:szCs w:val="24"/>
                <w:lang w:eastAsia="uk-UA"/>
              </w:rPr>
              <w:t xml:space="preserve">Частка доріг належної якості </w:t>
            </w:r>
          </w:p>
        </w:tc>
        <w:tc>
          <w:tcPr>
            <w:tcW w:w="709" w:type="dxa"/>
            <w:gridSpan w:val="2"/>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fill="auto" w:val="clear"/>
            <w:tcMar>
              <w:left w:w="-15" w:type="dxa"/>
            </w:tcMar>
          </w:tcPr>
          <w:p>
            <w:pPr>
              <w:pStyle w:val="Normal"/>
              <w:spacing w:lineRule="auto" w:line="240" w:before="0" w:after="0"/>
              <w:jc w:val="both"/>
              <w:rPr>
                <w:rFonts w:ascii="Times New Roman" w:hAnsi="Times New Roman" w:eastAsia="Times New Roman" w:cs="Times New Roman"/>
                <w:color w:val="1A1A1A"/>
                <w:sz w:val="20"/>
                <w:szCs w:val="20"/>
                <w:lang w:eastAsia="ru-RU"/>
              </w:rPr>
            </w:pPr>
            <w:r>
              <w:rPr>
                <w:rFonts w:eastAsia="Times New Roman" w:cs="Times New Roman" w:ascii="Times New Roman" w:hAnsi="Times New Roman"/>
                <w:color w:val="1A1A1A"/>
                <w:sz w:val="20"/>
                <w:szCs w:val="20"/>
                <w:lang w:eastAsia="ru-RU"/>
              </w:rPr>
            </w:r>
          </w:p>
        </w:tc>
        <w:tc>
          <w:tcPr>
            <w:tcW w:w="714" w:type="dxa"/>
            <w:gridSpan w:val="2"/>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fill="auto" w:val="clear"/>
            <w:tcMar>
              <w:left w:w="-15" w:type="dxa"/>
            </w:tcMar>
          </w:tcPr>
          <w:p>
            <w:pPr>
              <w:pStyle w:val="Normal"/>
              <w:spacing w:lineRule="auto" w:line="240" w:before="0" w:after="0"/>
              <w:jc w:val="both"/>
              <w:rPr>
                <w:rFonts w:ascii="Times New Roman" w:hAnsi="Times New Roman" w:eastAsia="Times New Roman" w:cs="Times New Roman"/>
                <w:color w:val="1A1A1A"/>
                <w:sz w:val="20"/>
                <w:szCs w:val="20"/>
                <w:lang w:eastAsia="ru-RU"/>
              </w:rPr>
            </w:pPr>
            <w:r>
              <w:rPr>
                <w:rFonts w:eastAsia="Times New Roman" w:cs="Times New Roman" w:ascii="Times New Roman" w:hAnsi="Times New Roman"/>
                <w:color w:val="1A1A1A"/>
                <w:sz w:val="20"/>
                <w:szCs w:val="20"/>
                <w:lang w:eastAsia="ru-RU"/>
              </w:rPr>
            </w:r>
          </w:p>
        </w:tc>
        <w:tc>
          <w:tcPr>
            <w:tcW w:w="692" w:type="dxa"/>
            <w:tc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cBorders>
            <w:shd w:fill="auto" w:val="clear"/>
            <w:tcMar>
              <w:left w:w="-15" w:type="dxa"/>
            </w:tcMar>
          </w:tcPr>
          <w:p>
            <w:pPr>
              <w:pStyle w:val="Normal"/>
              <w:spacing w:lineRule="auto" w:line="240" w:before="0" w:after="0"/>
              <w:jc w:val="both"/>
              <w:rPr>
                <w:rFonts w:ascii="Times New Roman" w:hAnsi="Times New Roman" w:eastAsia="Times New Roman" w:cs="Times New Roman"/>
                <w:color w:val="1A1A1A"/>
                <w:sz w:val="20"/>
                <w:szCs w:val="20"/>
                <w:lang w:eastAsia="ru-RU"/>
              </w:rPr>
            </w:pPr>
            <w:bookmarkStart w:id="181" w:name="_Hlk43191299"/>
            <w:bookmarkStart w:id="182" w:name="_Hlk43191299"/>
            <w:bookmarkEnd w:id="182"/>
            <w:r>
              <w:rPr>
                <w:rFonts w:eastAsia="Times New Roman" w:cs="Times New Roman" w:ascii="Times New Roman" w:hAnsi="Times New Roman"/>
                <w:color w:val="1A1A1A"/>
                <w:sz w:val="20"/>
                <w:szCs w:val="20"/>
                <w:lang w:eastAsia="ru-RU"/>
              </w:rPr>
            </w:r>
          </w:p>
        </w:tc>
      </w:tr>
    </w:tbl>
    <w:p>
      <w:pPr>
        <w:pStyle w:val="Normal"/>
        <w:spacing w:lineRule="auto" w:line="240" w:before="0" w:after="0"/>
        <w:ind w:firstLine="709"/>
        <w:jc w:val="both"/>
        <w:rPr>
          <w:rFonts w:ascii="Times New Roman" w:hAnsi="Times New Roman" w:eastAsia="Calibri" w:cs="Times New Roman"/>
          <w:color w:val="1A1A1A"/>
          <w:sz w:val="24"/>
          <w:szCs w:val="24"/>
        </w:rPr>
      </w:pPr>
      <w:r>
        <w:rPr>
          <w:rFonts w:eastAsia="Calibri" w:cs="Times New Roman" w:ascii="Times New Roman" w:hAnsi="Times New Roman"/>
          <w:color w:val="1A1A1A"/>
          <w:sz w:val="24"/>
          <w:szCs w:val="24"/>
        </w:rPr>
      </w:r>
    </w:p>
    <w:p>
      <w:pPr>
        <w:pStyle w:val="Normal"/>
        <w:spacing w:lineRule="auto" w:line="240" w:before="0" w:after="0"/>
        <w:ind w:firstLine="708"/>
        <w:jc w:val="both"/>
        <w:rPr>
          <w:rFonts w:ascii="Times New Roman" w:hAnsi="Times New Roman" w:eastAsia="Calibri" w:cs="Times New Roman"/>
          <w:sz w:val="24"/>
          <w:szCs w:val="24"/>
        </w:rPr>
      </w:pPr>
      <w:r>
        <w:rPr>
          <w:rFonts w:eastAsia="Calibri" w:cs="Times New Roman" w:ascii="Times New Roman" w:hAnsi="Times New Roman"/>
          <w:sz w:val="24"/>
          <w:szCs w:val="24"/>
        </w:rPr>
        <w:t>Звіт про виконання цієї частини моніторингу готується щорічно, як частина зведеного аналітичного моніторингового звіту.</w:t>
      </w:r>
    </w:p>
    <w:p>
      <w:pPr>
        <w:pStyle w:val="Normal"/>
        <w:spacing w:lineRule="auto" w:line="240" w:before="120" w:after="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3). </w:t>
      </w:r>
      <w:r>
        <w:rPr>
          <w:rFonts w:eastAsia="Calibri" w:cs="Times New Roman" w:ascii="Times New Roman" w:hAnsi="Times New Roman"/>
          <w:b/>
          <w:bCs/>
          <w:sz w:val="24"/>
          <w:szCs w:val="24"/>
        </w:rPr>
        <w:t>Моніторинг виконання проєктів місцевого розвитку</w:t>
      </w:r>
      <w:r>
        <w:rPr>
          <w:rFonts w:eastAsia="Calibri" w:cs="Times New Roman" w:ascii="Times New Roman" w:hAnsi="Times New Roman"/>
          <w:sz w:val="24"/>
          <w:szCs w:val="24"/>
        </w:rPr>
        <w:t xml:space="preserve">, що складають План реалізації Стратегії. </w:t>
      </w:r>
    </w:p>
    <w:p>
      <w:pPr>
        <w:pStyle w:val="Normal"/>
        <w:snapToGrid w:val="false"/>
        <w:spacing w:lineRule="auto" w:line="240" w:before="0" w:after="0"/>
        <w:ind w:firstLine="708"/>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Оцінюється стан виконання кожного проєкту та ступінь досягнення результатів, передбачених технічним завданням на проект. Щороку, до 10 грудня, </w:t>
      </w:r>
      <w:r>
        <w:rPr>
          <w:rFonts w:eastAsia="Times New Roman" w:cs="Times New Roman" w:ascii="Times New Roman" w:hAnsi="Times New Roman"/>
          <w:color w:val="000000"/>
          <w:sz w:val="24"/>
          <w:szCs w:val="24"/>
          <w:lang w:eastAsia="ru-RU" w:bidi="hi-IN"/>
        </w:rPr>
        <w:t>відділ економіки, комунального майна та землі</w:t>
      </w:r>
      <w:r>
        <w:rPr>
          <w:rFonts w:eastAsia="Calibri" w:cs="Times New Roman" w:ascii="Times New Roman" w:hAnsi="Times New Roman"/>
          <w:sz w:val="24"/>
          <w:szCs w:val="24"/>
        </w:rPr>
        <w:t xml:space="preserve"> Каховської міської ради направляє відповідальним за моніторинг реалізації Стратегії нагадування про необхідність надати моніторинговий звіт. До 15 грудня моніторингові звіти мають надійти.</w:t>
      </w:r>
    </w:p>
    <w:p>
      <w:pPr>
        <w:pStyle w:val="Normal"/>
        <w:spacing w:lineRule="auto" w:line="240" w:before="0" w:after="0"/>
        <w:ind w:firstLine="708"/>
        <w:jc w:val="both"/>
        <w:rPr>
          <w:rFonts w:ascii="Times New Roman" w:hAnsi="Times New Roman" w:eastAsia="Calibri" w:cs="Times New Roman"/>
          <w:sz w:val="24"/>
          <w:szCs w:val="24"/>
        </w:rPr>
      </w:pPr>
      <w:bookmarkStart w:id="183" w:name="_Hlk84348077"/>
      <w:bookmarkStart w:id="184" w:name="_Hlk43539132"/>
      <w:bookmarkEnd w:id="183"/>
      <w:bookmarkEnd w:id="184"/>
      <w:r>
        <w:rPr>
          <w:rFonts w:eastAsia="Calibri" w:cs="Times New Roman" w:ascii="Times New Roman" w:hAnsi="Times New Roman"/>
          <w:sz w:val="24"/>
          <w:szCs w:val="24"/>
        </w:rPr>
        <w:t>На підставі результатів моніторингу, один раз на рік на чергове засідання Комітету з управління впровадженням Стратегії виноситься проміжний аналіз фінансових потреб, зведений по всіх стратегічних цілях. Затверджений Комітетом з управління впровадженням стратегії аналіз фінансових потреб надається до депутатської комісії з питань бюджету для врахування під час розробки проекту бюджету на наступний рік.</w:t>
      </w:r>
    </w:p>
    <w:p>
      <w:pPr>
        <w:pStyle w:val="Normal"/>
        <w:widowControl w:val="false"/>
        <w:spacing w:lineRule="auto" w:line="240" w:before="0" w:after="0"/>
        <w:jc w:val="both"/>
        <w:rPr/>
      </w:pPr>
      <w:r>
        <w:rPr/>
      </w:r>
    </w:p>
    <w:sectPr>
      <w:type w:val="nextPage"/>
      <w:pgSz w:w="11906" w:h="16838"/>
      <w:pgMar w:left="1134" w:right="566" w:header="0" w:top="851" w:footer="0" w:bottom="709"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Tahoma">
    <w:charset w:val="01"/>
    <w:family w:val="roman"/>
    <w:pitch w:val="variable"/>
  </w:font>
  <w:font w:name="Calibri">
    <w:charset w:val="01"/>
    <w:family w:val="roman"/>
    <w:pitch w:val="variable"/>
  </w:font>
  <w:font w:name="Times New Roman">
    <w:charset w:val="01"/>
    <w:family w:val="roman"/>
    <w:pitch w:val="variable"/>
  </w:font>
  <w:font w:name="Bookman Old Style">
    <w:charset w:val="01"/>
    <w:family w:val="roman"/>
    <w:pitch w:val="variable"/>
  </w:font>
  <w:font w:name="Liberation Sans">
    <w:altName w:val="Arial"/>
    <w:charset w:val="01"/>
    <w:family w:val="roman"/>
    <w:pitch w:val="variable"/>
  </w:font>
  <w:font w:name="Cambria">
    <w:charset w:val="01"/>
    <w:family w:val="roman"/>
    <w:pitch w:val="variable"/>
  </w:font>
  <w:font w:name="Verdana">
    <w:charset w:val="01"/>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360" w:hanging="360"/>
      </w:pPr>
      <w:rPr>
        <w:rFonts w:ascii="Symbol" w:hAnsi="Symbol" w:cs="Symbol" w:hint="default"/>
        <w:sz w:val="24"/>
        <w:rFonts w:cs="Symbol"/>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abstractNum w:abstractNumId="2">
    <w:lvl w:ilvl="0">
      <w:start w:val="1"/>
      <w:numFmt w:val="decimal"/>
      <w:lvlText w:val="Таблиця %1."/>
      <w:lvlJc w:val="left"/>
      <w:pPr>
        <w:ind w:left="720" w:hanging="360"/>
      </w:pPr>
      <w:rPr>
        <w:sz w:val="24"/>
        <w:i w:val="false"/>
        <w:b/>
        <w:szCs w:val="24"/>
        <w:iCs w:val="false"/>
        <w:bCs/>
        <w:rFonts w:cs="Times New Roman"/>
      </w:rPr>
    </w:lvl>
    <w:lvl w:ilvl="1">
      <w:start w:val="1"/>
      <w:numFmt w:val="decimal"/>
      <w:lvlText w:val="%2."/>
      <w:lvlJc w:val="left"/>
      <w:pPr>
        <w:tabs>
          <w:tab w:val="num" w:pos="1440"/>
        </w:tabs>
        <w:ind w:left="1440" w:hanging="360"/>
      </w:pPr>
      <w:rPr>
        <w:sz w:val="22"/>
        <w:i w:val="false"/>
        <w:b/>
        <w:szCs w:val="22"/>
        <w:iCs w:val="false"/>
        <w:bCs/>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
    <w:lvl w:ilvl="0">
      <w:start w:val="1"/>
      <w:numFmt w:val="decimal"/>
      <w:lvlText w:val="Рис.%1"/>
      <w:lvlJc w:val="left"/>
      <w:pPr>
        <w:ind w:left="720" w:hanging="360"/>
      </w:pPr>
      <w:rPr>
        <w:sz w:val="24"/>
        <w:b/>
        <w:rFonts w:ascii="Times New Roman" w:hAnsi="Times New Roman" w:cs="Arial"/>
        <w:color w:val="0D0D0D"/>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lvl w:ilvl="0">
      <w:start w:val="1"/>
      <w:numFmt w:val="bullet"/>
      <w:lvlText w:val=""/>
      <w:lvlJc w:val="left"/>
      <w:pPr>
        <w:ind w:left="720" w:hanging="360"/>
      </w:pPr>
      <w:rPr>
        <w:rFonts w:ascii="Symbol" w:hAnsi="Symbol" w:cs="Symbol" w:hint="default"/>
        <w:sz w:val="24"/>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9">
    <w:lvl w:ilvl="0">
      <w:start w:val="1"/>
      <w:numFmt w:val="bullet"/>
      <w:lvlText w:val=""/>
      <w:lvlJc w:val="left"/>
      <w:pPr>
        <w:ind w:left="720" w:hanging="360"/>
      </w:pPr>
      <w:rPr>
        <w:rFonts w:ascii="Symbol" w:hAnsi="Symbol" w:cs="Symbol" w:hint="default"/>
        <w:sz w:val="24"/>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0">
    <w:lvl w:ilvl="0">
      <w:start w:val="1"/>
      <w:numFmt w:val="bullet"/>
      <w:lvlText w:val=""/>
      <w:lvlJc w:val="left"/>
      <w:pPr>
        <w:ind w:left="770" w:hanging="360"/>
      </w:pPr>
      <w:rPr>
        <w:rFonts w:ascii="Symbol" w:hAnsi="Symbol" w:cs="Symbol" w:hint="default"/>
        <w:sz w:val="24"/>
        <w:rFonts w:cs="Symbol"/>
      </w:rPr>
    </w:lvl>
    <w:lvl w:ilvl="1">
      <w:start w:val="1"/>
      <w:numFmt w:val="bullet"/>
      <w:lvlText w:val="o"/>
      <w:lvlJc w:val="left"/>
      <w:pPr>
        <w:ind w:left="1490" w:hanging="360"/>
      </w:pPr>
      <w:rPr>
        <w:rFonts w:ascii="Courier New" w:hAnsi="Courier New" w:cs="Courier New" w:hint="default"/>
        <w:rFonts w:cs="Courier New"/>
      </w:rPr>
    </w:lvl>
    <w:lvl w:ilvl="2">
      <w:start w:val="1"/>
      <w:numFmt w:val="bullet"/>
      <w:lvlText w:val=""/>
      <w:lvlJc w:val="left"/>
      <w:pPr>
        <w:ind w:left="2210" w:hanging="360"/>
      </w:pPr>
      <w:rPr>
        <w:rFonts w:ascii="Wingdings" w:hAnsi="Wingdings" w:cs="Wingdings" w:hint="default"/>
        <w:rFonts w:cs="Wingdings"/>
      </w:rPr>
    </w:lvl>
    <w:lvl w:ilvl="3">
      <w:start w:val="1"/>
      <w:numFmt w:val="bullet"/>
      <w:lvlText w:val=""/>
      <w:lvlJc w:val="left"/>
      <w:pPr>
        <w:ind w:left="2930" w:hanging="360"/>
      </w:pPr>
      <w:rPr>
        <w:rFonts w:ascii="Symbol" w:hAnsi="Symbol" w:cs="Symbol" w:hint="default"/>
        <w:rFonts w:cs="Symbol"/>
      </w:rPr>
    </w:lvl>
    <w:lvl w:ilvl="4">
      <w:start w:val="1"/>
      <w:numFmt w:val="bullet"/>
      <w:lvlText w:val="o"/>
      <w:lvlJc w:val="left"/>
      <w:pPr>
        <w:ind w:left="3650" w:hanging="360"/>
      </w:pPr>
      <w:rPr>
        <w:rFonts w:ascii="Courier New" w:hAnsi="Courier New" w:cs="Courier New" w:hint="default"/>
        <w:rFonts w:cs="Courier New"/>
      </w:rPr>
    </w:lvl>
    <w:lvl w:ilvl="5">
      <w:start w:val="1"/>
      <w:numFmt w:val="bullet"/>
      <w:lvlText w:val=""/>
      <w:lvlJc w:val="left"/>
      <w:pPr>
        <w:ind w:left="4370" w:hanging="360"/>
      </w:pPr>
      <w:rPr>
        <w:rFonts w:ascii="Wingdings" w:hAnsi="Wingdings" w:cs="Wingdings" w:hint="default"/>
        <w:rFonts w:cs="Wingdings"/>
      </w:rPr>
    </w:lvl>
    <w:lvl w:ilvl="6">
      <w:start w:val="1"/>
      <w:numFmt w:val="bullet"/>
      <w:lvlText w:val=""/>
      <w:lvlJc w:val="left"/>
      <w:pPr>
        <w:ind w:left="5090" w:hanging="360"/>
      </w:pPr>
      <w:rPr>
        <w:rFonts w:ascii="Symbol" w:hAnsi="Symbol" w:cs="Symbol" w:hint="default"/>
        <w:rFonts w:cs="Symbol"/>
      </w:rPr>
    </w:lvl>
    <w:lvl w:ilvl="7">
      <w:start w:val="1"/>
      <w:numFmt w:val="bullet"/>
      <w:lvlText w:val="o"/>
      <w:lvlJc w:val="left"/>
      <w:pPr>
        <w:ind w:left="5810" w:hanging="360"/>
      </w:pPr>
      <w:rPr>
        <w:rFonts w:ascii="Courier New" w:hAnsi="Courier New" w:cs="Courier New" w:hint="default"/>
        <w:rFonts w:cs="Courier New"/>
      </w:rPr>
    </w:lvl>
    <w:lvl w:ilvl="8">
      <w:start w:val="1"/>
      <w:numFmt w:val="bullet"/>
      <w:lvlText w:val=""/>
      <w:lvlJc w:val="left"/>
      <w:pPr>
        <w:ind w:left="6530" w:hanging="360"/>
      </w:pPr>
      <w:rPr>
        <w:rFonts w:ascii="Wingdings" w:hAnsi="Wingdings" w:cs="Wingdings" w:hint="default"/>
        <w:rFonts w:cs="Wingdings"/>
      </w:rPr>
    </w:lvl>
  </w:abstractNum>
  <w:abstractNum w:abstractNumId="11">
    <w:lvl w:ilvl="0">
      <w:start w:val="1"/>
      <w:numFmt w:val="bullet"/>
      <w:lvlText w:val=""/>
      <w:lvlJc w:val="left"/>
      <w:pPr>
        <w:ind w:left="720" w:hanging="360"/>
      </w:pPr>
      <w:rPr>
        <w:rFonts w:ascii="Symbol" w:hAnsi="Symbol" w:cs="Symbol" w:hint="default"/>
        <w:sz w:val="24"/>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2">
    <w:lvl w:ilvl="0">
      <w:start w:val="1"/>
      <w:numFmt w:val="bullet"/>
      <w:lvlText w:val=""/>
      <w:lvlJc w:val="left"/>
      <w:pPr>
        <w:ind w:left="360" w:hanging="360"/>
      </w:pPr>
      <w:rPr>
        <w:rFonts w:ascii="Symbol" w:hAnsi="Symbol" w:cs="Symbol" w:hint="default"/>
        <w:sz w:val="24"/>
        <w:rFonts w:cs="Symbol"/>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abstractNum w:abstractNumId="13">
    <w:lvl w:ilvl="0">
      <w:start w:val="1"/>
      <w:numFmt w:val="bullet"/>
      <w:lvlText w:val=""/>
      <w:lvlJc w:val="left"/>
      <w:pPr>
        <w:ind w:left="720" w:hanging="360"/>
      </w:pPr>
      <w:rPr>
        <w:rFonts w:ascii="Symbol" w:hAnsi="Symbol" w:cs="Symbol" w:hint="default"/>
        <w:sz w:val="24"/>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4">
    <w:lvl w:ilvl="0">
      <w:start w:val="1"/>
      <w:numFmt w:val="bullet"/>
      <w:lvlText w:val="-"/>
      <w:lvlJc w:val="left"/>
      <w:pPr>
        <w:ind w:left="540" w:hanging="360"/>
      </w:pPr>
      <w:rPr>
        <w:rFonts w:ascii="Times New Roman" w:hAnsi="Times New Roman" w:cs="Times New Roman" w:hint="default"/>
        <w:sz w:val="24"/>
        <w:rFonts w:cs="Times New Roman"/>
      </w:rPr>
    </w:lvl>
    <w:lvl w:ilvl="1">
      <w:start w:val="1"/>
      <w:numFmt w:val="bullet"/>
      <w:lvlText w:val="o"/>
      <w:lvlJc w:val="left"/>
      <w:pPr>
        <w:ind w:left="1260" w:hanging="360"/>
      </w:pPr>
      <w:rPr>
        <w:rFonts w:ascii="Courier New" w:hAnsi="Courier New" w:cs="Courier New" w:hint="default"/>
        <w:rFonts w:cs="Courier New"/>
      </w:rPr>
    </w:lvl>
    <w:lvl w:ilvl="2">
      <w:start w:val="1"/>
      <w:numFmt w:val="bullet"/>
      <w:lvlText w:val=""/>
      <w:lvlJc w:val="left"/>
      <w:pPr>
        <w:ind w:left="1980" w:hanging="360"/>
      </w:pPr>
      <w:rPr>
        <w:rFonts w:ascii="Wingdings" w:hAnsi="Wingdings" w:cs="Wingdings" w:hint="default"/>
        <w:rFonts w:cs="Wingdings"/>
      </w:rPr>
    </w:lvl>
    <w:lvl w:ilvl="3">
      <w:start w:val="1"/>
      <w:numFmt w:val="bullet"/>
      <w:lvlText w:val=""/>
      <w:lvlJc w:val="left"/>
      <w:pPr>
        <w:ind w:left="2700" w:hanging="360"/>
      </w:pPr>
      <w:rPr>
        <w:rFonts w:ascii="Symbol" w:hAnsi="Symbol" w:cs="Symbol" w:hint="default"/>
        <w:rFonts w:cs="Symbol"/>
      </w:rPr>
    </w:lvl>
    <w:lvl w:ilvl="4">
      <w:start w:val="1"/>
      <w:numFmt w:val="bullet"/>
      <w:lvlText w:val="o"/>
      <w:lvlJc w:val="left"/>
      <w:pPr>
        <w:ind w:left="3420" w:hanging="360"/>
      </w:pPr>
      <w:rPr>
        <w:rFonts w:ascii="Courier New" w:hAnsi="Courier New" w:cs="Courier New" w:hint="default"/>
        <w:rFonts w:cs="Courier New"/>
      </w:rPr>
    </w:lvl>
    <w:lvl w:ilvl="5">
      <w:start w:val="1"/>
      <w:numFmt w:val="bullet"/>
      <w:lvlText w:val=""/>
      <w:lvlJc w:val="left"/>
      <w:pPr>
        <w:ind w:left="4140" w:hanging="360"/>
      </w:pPr>
      <w:rPr>
        <w:rFonts w:ascii="Wingdings" w:hAnsi="Wingdings" w:cs="Wingdings" w:hint="default"/>
        <w:rFonts w:cs="Wingdings"/>
      </w:rPr>
    </w:lvl>
    <w:lvl w:ilvl="6">
      <w:start w:val="1"/>
      <w:numFmt w:val="bullet"/>
      <w:lvlText w:val=""/>
      <w:lvlJc w:val="left"/>
      <w:pPr>
        <w:ind w:left="4860" w:hanging="360"/>
      </w:pPr>
      <w:rPr>
        <w:rFonts w:ascii="Symbol" w:hAnsi="Symbol" w:cs="Symbol" w:hint="default"/>
        <w:rFonts w:cs="Symbol"/>
      </w:rPr>
    </w:lvl>
    <w:lvl w:ilvl="7">
      <w:start w:val="1"/>
      <w:numFmt w:val="bullet"/>
      <w:lvlText w:val="o"/>
      <w:lvlJc w:val="left"/>
      <w:pPr>
        <w:ind w:left="5580" w:hanging="360"/>
      </w:pPr>
      <w:rPr>
        <w:rFonts w:ascii="Courier New" w:hAnsi="Courier New" w:cs="Courier New" w:hint="default"/>
        <w:rFonts w:cs="Courier New"/>
      </w:rPr>
    </w:lvl>
    <w:lvl w:ilvl="8">
      <w:start w:val="1"/>
      <w:numFmt w:val="bullet"/>
      <w:lvlText w:val=""/>
      <w:lvlJc w:val="left"/>
      <w:pPr>
        <w:ind w:left="6300" w:hanging="360"/>
      </w:pPr>
      <w:rPr>
        <w:rFonts w:ascii="Wingdings" w:hAnsi="Wingdings" w:cs="Wingdings" w:hint="default"/>
        <w:rFonts w:cs="Wingdings"/>
      </w:rPr>
    </w:lvl>
  </w:abstractNum>
  <w:abstractNum w:abstractNumId="15">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6">
    <w:lvl w:ilvl="0">
      <w:start w:val="1"/>
      <w:numFmt w:val="bullet"/>
      <w:lvlText w:val=""/>
      <w:lvlJc w:val="left"/>
      <w:pPr>
        <w:tabs>
          <w:tab w:val="num" w:pos="720"/>
        </w:tabs>
        <w:ind w:left="720" w:hanging="360"/>
      </w:pPr>
      <w:rPr>
        <w:rFonts w:ascii="Wingdings" w:hAnsi="Wingdings" w:cs="Wingdings" w:hint="default"/>
        <w:sz w:val="24"/>
        <w:szCs w:val="28"/>
        <w:rFonts w:cs="Wingdings"/>
      </w:rPr>
    </w:lvl>
    <w:lvl w:ilvl="1">
      <w:start w:val="1"/>
      <w:numFmt w:val="bullet"/>
      <w:lvlText w:val=""/>
      <w:lvlJc w:val="left"/>
      <w:pPr>
        <w:tabs>
          <w:tab w:val="num" w:pos="1080"/>
        </w:tabs>
        <w:ind w:left="1080" w:hanging="360"/>
      </w:pPr>
      <w:rPr>
        <w:rFonts w:ascii="Wingdings" w:hAnsi="Wingdings" w:cs="Wingdings" w:hint="default"/>
        <w:sz w:val="28"/>
        <w:szCs w:val="28"/>
        <w:rFonts w:cs="Wingdings"/>
      </w:rPr>
    </w:lvl>
    <w:lvl w:ilvl="2">
      <w:start w:val="1"/>
      <w:numFmt w:val="bullet"/>
      <w:lvlText w:val=""/>
      <w:lvlJc w:val="left"/>
      <w:pPr>
        <w:tabs>
          <w:tab w:val="num" w:pos="1440"/>
        </w:tabs>
        <w:ind w:left="1440" w:hanging="360"/>
      </w:pPr>
      <w:rPr>
        <w:rFonts w:ascii="Wingdings" w:hAnsi="Wingdings" w:cs="Wingdings" w:hint="default"/>
        <w:sz w:val="28"/>
        <w:szCs w:val="28"/>
        <w:rFonts w:cs="Wingdings"/>
      </w:rPr>
    </w:lvl>
    <w:lvl w:ilvl="3">
      <w:start w:val="1"/>
      <w:numFmt w:val="bullet"/>
      <w:lvlText w:val=""/>
      <w:lvlJc w:val="left"/>
      <w:pPr>
        <w:tabs>
          <w:tab w:val="num" w:pos="1800"/>
        </w:tabs>
        <w:ind w:left="1800" w:hanging="360"/>
      </w:pPr>
      <w:rPr>
        <w:rFonts w:ascii="Wingdings" w:hAnsi="Wingdings" w:cs="Wingdings" w:hint="default"/>
        <w:sz w:val="28"/>
        <w:szCs w:val="28"/>
        <w:rFonts w:cs="Wingdings"/>
      </w:rPr>
    </w:lvl>
    <w:lvl w:ilvl="4">
      <w:start w:val="1"/>
      <w:numFmt w:val="bullet"/>
      <w:lvlText w:val=""/>
      <w:lvlJc w:val="left"/>
      <w:pPr>
        <w:tabs>
          <w:tab w:val="num" w:pos="2160"/>
        </w:tabs>
        <w:ind w:left="2160" w:hanging="360"/>
      </w:pPr>
      <w:rPr>
        <w:rFonts w:ascii="Wingdings" w:hAnsi="Wingdings" w:cs="Wingdings" w:hint="default"/>
        <w:sz w:val="28"/>
        <w:szCs w:val="28"/>
        <w:rFonts w:cs="Wingdings"/>
      </w:rPr>
    </w:lvl>
    <w:lvl w:ilvl="5">
      <w:start w:val="1"/>
      <w:numFmt w:val="bullet"/>
      <w:lvlText w:val=""/>
      <w:lvlJc w:val="left"/>
      <w:pPr>
        <w:tabs>
          <w:tab w:val="num" w:pos="2520"/>
        </w:tabs>
        <w:ind w:left="2520" w:hanging="360"/>
      </w:pPr>
      <w:rPr>
        <w:rFonts w:ascii="Wingdings" w:hAnsi="Wingdings" w:cs="Wingdings" w:hint="default"/>
        <w:sz w:val="28"/>
        <w:szCs w:val="28"/>
        <w:rFonts w:cs="Wingdings"/>
      </w:rPr>
    </w:lvl>
    <w:lvl w:ilvl="6">
      <w:start w:val="1"/>
      <w:numFmt w:val="bullet"/>
      <w:lvlText w:val=""/>
      <w:lvlJc w:val="left"/>
      <w:pPr>
        <w:tabs>
          <w:tab w:val="num" w:pos="2880"/>
        </w:tabs>
        <w:ind w:left="2880" w:hanging="360"/>
      </w:pPr>
      <w:rPr>
        <w:rFonts w:ascii="Wingdings" w:hAnsi="Wingdings" w:cs="Wingdings" w:hint="default"/>
        <w:sz w:val="28"/>
        <w:szCs w:val="28"/>
        <w:rFonts w:cs="Wingdings"/>
      </w:rPr>
    </w:lvl>
    <w:lvl w:ilvl="7">
      <w:start w:val="1"/>
      <w:numFmt w:val="bullet"/>
      <w:lvlText w:val=""/>
      <w:lvlJc w:val="left"/>
      <w:pPr>
        <w:tabs>
          <w:tab w:val="num" w:pos="3240"/>
        </w:tabs>
        <w:ind w:left="3240" w:hanging="360"/>
      </w:pPr>
      <w:rPr>
        <w:rFonts w:ascii="Wingdings" w:hAnsi="Wingdings" w:cs="Wingdings" w:hint="default"/>
        <w:sz w:val="28"/>
        <w:szCs w:val="28"/>
        <w:rFonts w:cs="Wingdings"/>
      </w:rPr>
    </w:lvl>
    <w:lvl w:ilvl="8">
      <w:start w:val="1"/>
      <w:numFmt w:val="bullet"/>
      <w:lvlText w:val=""/>
      <w:lvlJc w:val="left"/>
      <w:pPr>
        <w:tabs>
          <w:tab w:val="num" w:pos="3600"/>
        </w:tabs>
        <w:ind w:left="3600" w:hanging="360"/>
      </w:pPr>
      <w:rPr>
        <w:rFonts w:ascii="Wingdings" w:hAnsi="Wingdings" w:cs="Wingdings" w:hint="default"/>
        <w:sz w:val="28"/>
        <w:szCs w:val="28"/>
        <w:rFonts w:cs="Wingdings"/>
      </w:rPr>
    </w:lvl>
  </w:abstractNum>
  <w:abstractNum w:abstractNumId="17">
    <w:lvl w:ilvl="0">
      <w:start w:val="1"/>
      <w:numFmt w:val="bullet"/>
      <w:lvlText w:val=""/>
      <w:lvlJc w:val="left"/>
      <w:pPr>
        <w:ind w:left="720" w:hanging="360"/>
      </w:pPr>
      <w:rPr>
        <w:rFonts w:ascii="Symbol" w:hAnsi="Symbol" w:cs="Symbol" w:hint="default"/>
        <w:sz w:val="24"/>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8">
    <w:lvl w:ilvl="0">
      <w:start w:val="1"/>
      <w:numFmt w:val="bullet"/>
      <w:lvlText w:val=""/>
      <w:lvlJc w:val="left"/>
      <w:pPr>
        <w:ind w:left="1428" w:hanging="360"/>
      </w:pPr>
      <w:rPr>
        <w:rFonts w:ascii="Wingdings" w:hAnsi="Wingdings" w:cs="Wingdings" w:hint="default"/>
        <w:sz w:val="24"/>
        <w:rFonts w:cs="Wingdings"/>
      </w:rPr>
    </w:lvl>
    <w:lvl w:ilvl="1">
      <w:start w:val="1"/>
      <w:numFmt w:val="bullet"/>
      <w:lvlText w:val="o"/>
      <w:lvlJc w:val="left"/>
      <w:pPr>
        <w:ind w:left="2148" w:hanging="360"/>
      </w:pPr>
      <w:rPr>
        <w:rFonts w:ascii="Courier New" w:hAnsi="Courier New" w:cs="Courier New" w:hint="default"/>
        <w:rFonts w:cs="Courier New"/>
      </w:rPr>
    </w:lvl>
    <w:lvl w:ilvl="2">
      <w:start w:val="1"/>
      <w:numFmt w:val="bullet"/>
      <w:lvlText w:val=""/>
      <w:lvlJc w:val="left"/>
      <w:pPr>
        <w:ind w:left="2868" w:hanging="360"/>
      </w:pPr>
      <w:rPr>
        <w:rFonts w:ascii="Wingdings" w:hAnsi="Wingdings" w:cs="Wingdings" w:hint="default"/>
        <w:rFonts w:cs="Wingdings"/>
      </w:rPr>
    </w:lvl>
    <w:lvl w:ilvl="3">
      <w:start w:val="1"/>
      <w:numFmt w:val="bullet"/>
      <w:lvlText w:val=""/>
      <w:lvlJc w:val="left"/>
      <w:pPr>
        <w:ind w:left="3588" w:hanging="360"/>
      </w:pPr>
      <w:rPr>
        <w:rFonts w:ascii="Symbol" w:hAnsi="Symbol" w:cs="Symbol" w:hint="default"/>
        <w:rFonts w:cs="Symbol"/>
      </w:rPr>
    </w:lvl>
    <w:lvl w:ilvl="4">
      <w:start w:val="1"/>
      <w:numFmt w:val="bullet"/>
      <w:lvlText w:val="o"/>
      <w:lvlJc w:val="left"/>
      <w:pPr>
        <w:ind w:left="4308" w:hanging="360"/>
      </w:pPr>
      <w:rPr>
        <w:rFonts w:ascii="Courier New" w:hAnsi="Courier New" w:cs="Courier New" w:hint="default"/>
        <w:rFonts w:cs="Courier New"/>
      </w:rPr>
    </w:lvl>
    <w:lvl w:ilvl="5">
      <w:start w:val="1"/>
      <w:numFmt w:val="bullet"/>
      <w:lvlText w:val=""/>
      <w:lvlJc w:val="left"/>
      <w:pPr>
        <w:ind w:left="5028" w:hanging="360"/>
      </w:pPr>
      <w:rPr>
        <w:rFonts w:ascii="Wingdings" w:hAnsi="Wingdings" w:cs="Wingdings" w:hint="default"/>
        <w:rFonts w:cs="Wingdings"/>
      </w:rPr>
    </w:lvl>
    <w:lvl w:ilvl="6">
      <w:start w:val="1"/>
      <w:numFmt w:val="bullet"/>
      <w:lvlText w:val=""/>
      <w:lvlJc w:val="left"/>
      <w:pPr>
        <w:ind w:left="5748" w:hanging="360"/>
      </w:pPr>
      <w:rPr>
        <w:rFonts w:ascii="Symbol" w:hAnsi="Symbol" w:cs="Symbol" w:hint="default"/>
        <w:rFonts w:cs="Symbol"/>
      </w:rPr>
    </w:lvl>
    <w:lvl w:ilvl="7">
      <w:start w:val="1"/>
      <w:numFmt w:val="bullet"/>
      <w:lvlText w:val="o"/>
      <w:lvlJc w:val="left"/>
      <w:pPr>
        <w:ind w:left="6468" w:hanging="360"/>
      </w:pPr>
      <w:rPr>
        <w:rFonts w:ascii="Courier New" w:hAnsi="Courier New" w:cs="Courier New" w:hint="default"/>
        <w:rFonts w:cs="Courier New"/>
      </w:rPr>
    </w:lvl>
    <w:lvl w:ilvl="8">
      <w:start w:val="1"/>
      <w:numFmt w:val="bullet"/>
      <w:lvlText w:val=""/>
      <w:lvlJc w:val="left"/>
      <w:pPr>
        <w:ind w:left="7188" w:hanging="360"/>
      </w:pPr>
      <w:rPr>
        <w:rFonts w:ascii="Wingdings" w:hAnsi="Wingdings" w:cs="Wingdings" w:hint="default"/>
        <w:rFonts w:cs="Wingdings"/>
      </w:rPr>
    </w:lvl>
  </w:abstractNum>
  <w:abstractNum w:abstractNumId="19">
    <w:lvl w:ilvl="0">
      <w:start w:val="1"/>
      <w:numFmt w:val="decimal"/>
      <w:lvlText w:val="%1."/>
      <w:lvlJc w:val="left"/>
      <w:pPr>
        <w:ind w:left="720" w:hanging="360"/>
      </w:pPr>
    </w:lvl>
    <w:lvl w:ilvl="1">
      <w:start w:val="1"/>
      <w:numFmt w:val="bullet"/>
      <w:lvlText w:val=""/>
      <w:lvlJc w:val="left"/>
      <w:pPr>
        <w:ind w:left="1440" w:hanging="360"/>
      </w:pPr>
      <w:rPr>
        <w:rFonts w:ascii="Symbol" w:hAnsi="Symbol" w:cs="Symbol" w:hint="default"/>
        <w:sz w:val="24"/>
        <w:rFonts w:cs="Symbo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asciiTheme="minorHAnsi" w:cstheme="minorHAnsi" w:eastAsiaTheme="minorHAnsi" w:hAnsiTheme="minorHAnsi"/>
        <w:szCs w:val="22"/>
        <w:lang w:val="ru-RU"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qFormat="1"/>
    <w:lsdException w:name="toc 3" w:uiPriority="39"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c1604"/>
    <w:pPr>
      <w:widowControl/>
      <w:bidi w:val="0"/>
      <w:spacing w:lineRule="auto" w:line="276" w:before="0" w:after="200"/>
      <w:jc w:val="left"/>
    </w:pPr>
    <w:rPr>
      <w:rFonts w:ascii="Arial" w:hAnsi="Arial" w:eastAsia="Arial" w:cs="Arial" w:asciiTheme="minorHAnsi" w:cstheme="minorHAnsi" w:eastAsiaTheme="minorHAnsi" w:hAnsiTheme="minorHAnsi"/>
      <w:color w:val="00000A"/>
      <w:sz w:val="22"/>
      <w:szCs w:val="22"/>
      <w:lang w:val="uk-UA" w:eastAsia="en-US" w:bidi="ar-SA"/>
    </w:rPr>
  </w:style>
  <w:style w:type="paragraph" w:styleId="1">
    <w:name w:val="Heading 1"/>
    <w:basedOn w:val="Normal"/>
    <w:link w:val="10"/>
    <w:qFormat/>
    <w:rsid w:val="00163143"/>
    <w:pPr>
      <w:keepNext/>
      <w:pageBreakBefore/>
      <w:tabs>
        <w:tab w:val="left" w:pos="567" w:leader="none"/>
      </w:tabs>
      <w:spacing w:before="240" w:after="60"/>
      <w:outlineLvl w:val="0"/>
    </w:pPr>
    <w:rPr>
      <w:rFonts w:ascii="Arial" w:hAnsi="Arial" w:eastAsia="Times New Roman"/>
      <w:b/>
      <w:bCs/>
      <w:sz w:val="28"/>
      <w:szCs w:val="32"/>
    </w:rPr>
  </w:style>
  <w:style w:type="paragraph" w:styleId="2">
    <w:name w:val="Heading 2"/>
    <w:basedOn w:val="Normal"/>
    <w:link w:val="20"/>
    <w:uiPriority w:val="99"/>
    <w:qFormat/>
    <w:rsid w:val="00163143"/>
    <w:pPr>
      <w:keepNext/>
      <w:keepLines/>
      <w:tabs>
        <w:tab w:val="left" w:pos="567" w:leader="none"/>
      </w:tabs>
      <w:spacing w:lineRule="auto" w:line="240" w:before="240" w:after="60"/>
      <w:ind w:left="567" w:hanging="567"/>
      <w:outlineLvl w:val="1"/>
    </w:pPr>
    <w:rPr>
      <w:rFonts w:ascii="Arial" w:hAnsi="Arial" w:eastAsia="Times New Roman"/>
      <w:b/>
      <w:bCs/>
      <w:sz w:val="24"/>
      <w:szCs w:val="26"/>
    </w:rPr>
  </w:style>
  <w:style w:type="paragraph" w:styleId="3">
    <w:name w:val="Heading 3"/>
    <w:basedOn w:val="Normal"/>
    <w:link w:val="30"/>
    <w:uiPriority w:val="99"/>
    <w:qFormat/>
    <w:rsid w:val="00163143"/>
    <w:pPr>
      <w:keepNext/>
      <w:keepLines/>
      <w:tabs>
        <w:tab w:val="left" w:pos="709" w:leader="none"/>
      </w:tabs>
      <w:spacing w:lineRule="auto" w:line="240" w:before="120" w:after="0"/>
      <w:ind w:left="709" w:hanging="709"/>
      <w:outlineLvl w:val="2"/>
    </w:pPr>
    <w:rPr>
      <w:rFonts w:ascii="Arial" w:hAnsi="Arial" w:eastAsia="Times New Roman"/>
      <w:b/>
      <w:bCs/>
      <w:i/>
      <w:sz w:val="20"/>
      <w:szCs w:val="20"/>
    </w:rPr>
  </w:style>
  <w:style w:type="paragraph" w:styleId="4">
    <w:name w:val="Heading 4"/>
    <w:basedOn w:val="Normal"/>
    <w:link w:val="40"/>
    <w:uiPriority w:val="99"/>
    <w:qFormat/>
    <w:rsid w:val="00163143"/>
    <w:pPr>
      <w:keepNext/>
      <w:keepLines/>
      <w:tabs>
        <w:tab w:val="left" w:pos="851" w:leader="none"/>
      </w:tabs>
      <w:spacing w:lineRule="auto" w:line="240" w:before="200" w:after="0"/>
      <w:ind w:left="851" w:hanging="851"/>
      <w:outlineLvl w:val="3"/>
    </w:pPr>
    <w:rPr>
      <w:rFonts w:ascii="Arial" w:hAnsi="Arial" w:eastAsia="Times New Roman"/>
      <w:bCs/>
      <w:i/>
      <w:iCs/>
      <w:sz w:val="20"/>
      <w:szCs w:val="20"/>
      <w:u w:val="single"/>
    </w:rPr>
  </w:style>
  <w:style w:type="paragraph" w:styleId="6">
    <w:name w:val="Heading 6"/>
    <w:basedOn w:val="Normal"/>
    <w:link w:val="60"/>
    <w:unhideWhenUsed/>
    <w:qFormat/>
    <w:rsid w:val="00163143"/>
    <w:pPr>
      <w:keepNext/>
      <w:keepLines/>
      <w:spacing w:before="40" w:after="0"/>
      <w:outlineLvl w:val="5"/>
    </w:pPr>
    <w:rPr>
      <w:rFonts w:ascii="Arial" w:hAnsi="Arial" w:eastAsia="" w:cs="" w:asciiTheme="majorHAnsi" w:cstheme="majorBidi" w:eastAsiaTheme="majorEastAsia" w:hAnsiTheme="majorHAnsi"/>
      <w:color w:val="243F60" w:themeColor="accent1" w:themeShade="7f"/>
    </w:rPr>
  </w:style>
  <w:style w:type="character" w:styleId="DefaultParagraphFont" w:default="1">
    <w:name w:val="Default Paragraph Font"/>
    <w:uiPriority w:val="1"/>
    <w:semiHidden/>
    <w:unhideWhenUsed/>
    <w:qFormat/>
    <w:rPr/>
  </w:style>
  <w:style w:type="character" w:styleId="11" w:customStyle="1">
    <w:name w:val="Заголовок 1 Знак"/>
    <w:basedOn w:val="DefaultParagraphFont"/>
    <w:link w:val="1"/>
    <w:qFormat/>
    <w:rsid w:val="00163143"/>
    <w:rPr>
      <w:rFonts w:ascii="Arial" w:hAnsi="Arial" w:eastAsia="Times New Roman" w:cs="Times New Roman"/>
      <w:b/>
      <w:bCs/>
      <w:sz w:val="28"/>
      <w:szCs w:val="32"/>
      <w:lang w:val="uk-UA"/>
    </w:rPr>
  </w:style>
  <w:style w:type="character" w:styleId="21" w:customStyle="1">
    <w:name w:val="Заголовок 2 Знак"/>
    <w:basedOn w:val="DefaultParagraphFont"/>
    <w:link w:val="2"/>
    <w:uiPriority w:val="99"/>
    <w:qFormat/>
    <w:rsid w:val="00163143"/>
    <w:rPr>
      <w:rFonts w:ascii="Arial" w:hAnsi="Arial" w:eastAsia="Times New Roman" w:cs="Times New Roman"/>
      <w:b/>
      <w:bCs/>
      <w:sz w:val="24"/>
      <w:szCs w:val="26"/>
      <w:lang w:val="uk-UA"/>
    </w:rPr>
  </w:style>
  <w:style w:type="character" w:styleId="31" w:customStyle="1">
    <w:name w:val="Заголовок 3 Знак"/>
    <w:basedOn w:val="DefaultParagraphFont"/>
    <w:link w:val="3"/>
    <w:uiPriority w:val="99"/>
    <w:qFormat/>
    <w:rsid w:val="00163143"/>
    <w:rPr>
      <w:rFonts w:ascii="Arial" w:hAnsi="Arial" w:eastAsia="Times New Roman" w:cs="Times New Roman"/>
      <w:b/>
      <w:bCs/>
      <w:i/>
      <w:sz w:val="20"/>
      <w:szCs w:val="20"/>
      <w:lang w:val="uk-UA"/>
    </w:rPr>
  </w:style>
  <w:style w:type="character" w:styleId="41" w:customStyle="1">
    <w:name w:val="Заголовок 4 Знак"/>
    <w:basedOn w:val="DefaultParagraphFont"/>
    <w:link w:val="4"/>
    <w:uiPriority w:val="99"/>
    <w:qFormat/>
    <w:rsid w:val="00163143"/>
    <w:rPr>
      <w:rFonts w:ascii="Arial" w:hAnsi="Arial" w:eastAsia="Times New Roman" w:cs="Times New Roman"/>
      <w:bCs/>
      <w:i/>
      <w:iCs/>
      <w:sz w:val="20"/>
      <w:szCs w:val="20"/>
      <w:u w:val="single"/>
      <w:lang w:val="uk-UA"/>
    </w:rPr>
  </w:style>
  <w:style w:type="character" w:styleId="61" w:customStyle="1">
    <w:name w:val="Заголовок 6 Знак"/>
    <w:basedOn w:val="DefaultParagraphFont"/>
    <w:link w:val="6"/>
    <w:qFormat/>
    <w:rsid w:val="00163143"/>
    <w:rPr>
      <w:rFonts w:ascii="Arial" w:hAnsi="Arial" w:eastAsia="" w:cs="" w:asciiTheme="majorHAnsi" w:cstheme="majorBidi" w:eastAsiaTheme="majorEastAsia" w:hAnsiTheme="majorHAnsi"/>
      <w:color w:val="243F60" w:themeColor="accent1" w:themeShade="7f"/>
      <w:lang w:val="uk-UA"/>
    </w:rPr>
  </w:style>
  <w:style w:type="character" w:styleId="Style9" w:customStyle="1">
    <w:name w:val="Текст у виносці Знак"/>
    <w:basedOn w:val="DefaultParagraphFont"/>
    <w:link w:val="a3"/>
    <w:uiPriority w:val="99"/>
    <w:semiHidden/>
    <w:qFormat/>
    <w:rsid w:val="00163143"/>
    <w:rPr>
      <w:rFonts w:ascii="Tahoma" w:hAnsi="Tahoma" w:eastAsia="Calibri" w:cs="Tahoma"/>
      <w:sz w:val="16"/>
      <w:szCs w:val="16"/>
      <w:lang w:val="uk-UA"/>
    </w:rPr>
  </w:style>
  <w:style w:type="character" w:styleId="Style10" w:customStyle="1">
    <w:name w:val="Верхній колонтитул Знак"/>
    <w:basedOn w:val="DefaultParagraphFont"/>
    <w:link w:val="a5"/>
    <w:uiPriority w:val="99"/>
    <w:qFormat/>
    <w:rsid w:val="00163143"/>
    <w:rPr>
      <w:rFonts w:ascii="Calibri" w:hAnsi="Calibri" w:eastAsia="Calibri" w:cs="Times New Roman"/>
      <w:lang w:val="uk-UA"/>
    </w:rPr>
  </w:style>
  <w:style w:type="character" w:styleId="Style11" w:customStyle="1">
    <w:name w:val="Нижній колонтитул Знак"/>
    <w:basedOn w:val="DefaultParagraphFont"/>
    <w:link w:val="a7"/>
    <w:uiPriority w:val="99"/>
    <w:qFormat/>
    <w:rsid w:val="00163143"/>
    <w:rPr>
      <w:rFonts w:ascii="Calibri" w:hAnsi="Calibri" w:eastAsia="Calibri" w:cs="Times New Roman"/>
      <w:lang w:val="uk-UA"/>
    </w:rPr>
  </w:style>
  <w:style w:type="character" w:styleId="Style12" w:customStyle="1">
    <w:name w:val="Підзаголовок Знак"/>
    <w:basedOn w:val="DefaultParagraphFont"/>
    <w:link w:val="a9"/>
    <w:uiPriority w:val="99"/>
    <w:qFormat/>
    <w:rsid w:val="00163143"/>
    <w:rPr>
      <w:rFonts w:ascii="Arial" w:hAnsi="Arial" w:eastAsia="Times New Roman" w:cs="Times New Roman"/>
      <w:b/>
      <w:i/>
      <w:sz w:val="20"/>
      <w:szCs w:val="20"/>
      <w:lang w:val="uk-UA"/>
    </w:rPr>
  </w:style>
  <w:style w:type="character" w:styleId="Style13" w:customStyle="1">
    <w:name w:val="Интернет-ссылка"/>
    <w:rsid w:val="00be185f"/>
    <w:rPr>
      <w:color w:val="000080"/>
      <w:u w:val="single"/>
    </w:rPr>
  </w:style>
  <w:style w:type="character" w:styleId="Pagenumber">
    <w:name w:val="page number"/>
    <w:basedOn w:val="DefaultParagraphFont"/>
    <w:uiPriority w:val="99"/>
    <w:qFormat/>
    <w:rsid w:val="00163143"/>
    <w:rPr>
      <w:rFonts w:cs="Times New Roman"/>
    </w:rPr>
  </w:style>
  <w:style w:type="character" w:styleId="Style14" w:customStyle="1">
    <w:name w:val="Текст виноски Знак"/>
    <w:basedOn w:val="DefaultParagraphFont"/>
    <w:link w:val="af4"/>
    <w:uiPriority w:val="99"/>
    <w:semiHidden/>
    <w:qFormat/>
    <w:rsid w:val="00163143"/>
    <w:rPr>
      <w:rFonts w:ascii="Arial" w:hAnsi="Arial" w:eastAsia="Times New Roman" w:cs="Times New Roman"/>
      <w:sz w:val="16"/>
      <w:szCs w:val="20"/>
      <w:lang w:val="uk-UA"/>
    </w:rPr>
  </w:style>
  <w:style w:type="character" w:styleId="Footnotereference">
    <w:name w:val="footnote reference"/>
    <w:basedOn w:val="DefaultParagraphFont"/>
    <w:uiPriority w:val="99"/>
    <w:semiHidden/>
    <w:qFormat/>
    <w:rsid w:val="00163143"/>
    <w:rPr>
      <w:rFonts w:cs="Times New Roman"/>
      <w:vertAlign w:val="superscript"/>
    </w:rPr>
  </w:style>
  <w:style w:type="character" w:styleId="Annotationreference">
    <w:name w:val="annotation reference"/>
    <w:basedOn w:val="DefaultParagraphFont"/>
    <w:uiPriority w:val="99"/>
    <w:qFormat/>
    <w:rsid w:val="00163143"/>
    <w:rPr>
      <w:rFonts w:cs="Times New Roman"/>
      <w:sz w:val="16"/>
    </w:rPr>
  </w:style>
  <w:style w:type="character" w:styleId="Style15" w:customStyle="1">
    <w:name w:val="Текст примітки Знак"/>
    <w:basedOn w:val="DefaultParagraphFont"/>
    <w:link w:val="af9"/>
    <w:uiPriority w:val="99"/>
    <w:semiHidden/>
    <w:qFormat/>
    <w:rsid w:val="00163143"/>
    <w:rPr>
      <w:rFonts w:ascii="Arial" w:hAnsi="Arial" w:eastAsia="Times New Roman" w:cs="Times New Roman"/>
      <w:sz w:val="20"/>
      <w:szCs w:val="20"/>
      <w:lang w:val="uk-UA"/>
    </w:rPr>
  </w:style>
  <w:style w:type="character" w:styleId="Style16" w:customStyle="1">
    <w:name w:val="Тема примітки Знак"/>
    <w:basedOn w:val="Style15"/>
    <w:link w:val="afb"/>
    <w:uiPriority w:val="99"/>
    <w:semiHidden/>
    <w:qFormat/>
    <w:rsid w:val="00163143"/>
    <w:rPr>
      <w:rFonts w:ascii="Arial" w:hAnsi="Arial" w:eastAsia="Times New Roman" w:cs="Times New Roman"/>
      <w:b/>
      <w:bCs/>
      <w:sz w:val="20"/>
      <w:szCs w:val="20"/>
      <w:lang w:val="uk-UA"/>
    </w:rPr>
  </w:style>
  <w:style w:type="character" w:styleId="Appleconvertedspace" w:customStyle="1">
    <w:name w:val="apple-converted-space"/>
    <w:uiPriority w:val="99"/>
    <w:qFormat/>
    <w:rsid w:val="00163143"/>
    <w:rPr/>
  </w:style>
  <w:style w:type="character" w:styleId="Rvts11" w:customStyle="1">
    <w:name w:val="rvts11"/>
    <w:uiPriority w:val="99"/>
    <w:qFormat/>
    <w:rsid w:val="00163143"/>
    <w:rPr/>
  </w:style>
  <w:style w:type="character" w:styleId="Style17" w:customStyle="1">
    <w:name w:val="Абзац списку Знак"/>
    <w:link w:val="ae"/>
    <w:uiPriority w:val="34"/>
    <w:qFormat/>
    <w:locked/>
    <w:rsid w:val="00163143"/>
    <w:rPr>
      <w:rFonts w:ascii="Arial" w:hAnsi="Arial" w:eastAsia="Calibri" w:cs="Times New Roman"/>
      <w:sz w:val="20"/>
      <w:szCs w:val="20"/>
      <w:lang w:val="en-US" w:eastAsia="ja-JP"/>
    </w:rPr>
  </w:style>
  <w:style w:type="character" w:styleId="Hps" w:customStyle="1">
    <w:name w:val="hps"/>
    <w:uiPriority w:val="99"/>
    <w:qFormat/>
    <w:rsid w:val="00163143"/>
    <w:rPr/>
  </w:style>
  <w:style w:type="character" w:styleId="Style18" w:customStyle="1">
    <w:name w:val="Без інтервалів Знак"/>
    <w:basedOn w:val="DefaultParagraphFont"/>
    <w:link w:val="ab"/>
    <w:uiPriority w:val="99"/>
    <w:qFormat/>
    <w:locked/>
    <w:rsid w:val="00163143"/>
    <w:rPr>
      <w:rFonts w:ascii="Calibri" w:hAnsi="Calibri" w:eastAsia="Calibri" w:cs="Times New Roman"/>
      <w:lang w:val="uk-UA"/>
    </w:rPr>
  </w:style>
  <w:style w:type="character" w:styleId="Strong">
    <w:name w:val="Strong"/>
    <w:basedOn w:val="DefaultParagraphFont"/>
    <w:uiPriority w:val="22"/>
    <w:qFormat/>
    <w:rsid w:val="00163143"/>
    <w:rPr>
      <w:b/>
      <w:bCs/>
    </w:rPr>
  </w:style>
  <w:style w:type="character" w:styleId="Style19" w:customStyle="1">
    <w:name w:val="Основний текст з відступом Знак"/>
    <w:basedOn w:val="DefaultParagraphFont"/>
    <w:link w:val="aff0"/>
    <w:qFormat/>
    <w:rsid w:val="00163143"/>
    <w:rPr>
      <w:rFonts w:ascii="Times New Roman" w:hAnsi="Times New Roman" w:eastAsia="Times New Roman" w:cs="Times New Roman"/>
      <w:sz w:val="24"/>
      <w:szCs w:val="24"/>
      <w:lang w:val="uk-UA" w:eastAsia="ru-RU"/>
    </w:rPr>
  </w:style>
  <w:style w:type="character" w:styleId="BodytextChar" w:customStyle="1">
    <w:name w:val="Body text Char"/>
    <w:basedOn w:val="DefaultParagraphFont"/>
    <w:link w:val="14"/>
    <w:qFormat/>
    <w:rsid w:val="00163143"/>
    <w:rPr>
      <w:rFonts w:ascii="Arial" w:hAnsi="Arial" w:eastAsia="Times New Roman" w:cs="Arial"/>
      <w:color w:val="000000"/>
      <w:szCs w:val="20"/>
      <w:lang w:val="en-GB"/>
    </w:rPr>
  </w:style>
  <w:style w:type="character" w:styleId="Style20" w:customStyle="1">
    <w:name w:val="Основний текст Знак"/>
    <w:basedOn w:val="DefaultParagraphFont"/>
    <w:link w:val="aff1"/>
    <w:qFormat/>
    <w:rsid w:val="00163143"/>
    <w:rPr>
      <w:rFonts w:ascii="Calibri" w:hAnsi="Calibri" w:eastAsia="Calibri" w:cs="Times New Roman"/>
      <w:lang w:val="uk-UA"/>
    </w:rPr>
  </w:style>
  <w:style w:type="character" w:styleId="12" w:customStyle="1">
    <w:name w:val="Список 1 Знак"/>
    <w:link w:val="15"/>
    <w:qFormat/>
    <w:rsid w:val="00163143"/>
    <w:rPr>
      <w:rFonts w:ascii="Arial" w:hAnsi="Arial" w:eastAsia="Calibri" w:cs="Arial"/>
      <w:lang w:val="uk-UA"/>
    </w:rPr>
  </w:style>
  <w:style w:type="character" w:styleId="8pt10" w:customStyle="1">
    <w:name w:val="Основной текст + 8 pt10"/>
    <w:qFormat/>
    <w:rsid w:val="00163143"/>
    <w:rPr>
      <w:rFonts w:ascii="Bookman Old Style" w:hAnsi="Bookman Old Style" w:cs="Bookman Old Style"/>
      <w:spacing w:val="0"/>
      <w:sz w:val="16"/>
      <w:szCs w:val="16"/>
      <w:u w:val="none"/>
    </w:rPr>
  </w:style>
  <w:style w:type="character" w:styleId="FontStyle163" w:customStyle="1">
    <w:name w:val="Font Style163"/>
    <w:qFormat/>
    <w:rsid w:val="00163143"/>
    <w:rPr>
      <w:rFonts w:ascii="Times New Roman" w:hAnsi="Times New Roman" w:cs="Times New Roman"/>
      <w:b/>
      <w:bCs/>
      <w:i/>
      <w:iCs/>
      <w:color w:val="000000"/>
      <w:sz w:val="24"/>
      <w:szCs w:val="24"/>
    </w:rPr>
  </w:style>
  <w:style w:type="character" w:styleId="FontStyle205" w:customStyle="1">
    <w:name w:val="Font Style205"/>
    <w:qFormat/>
    <w:rsid w:val="00163143"/>
    <w:rPr>
      <w:rFonts w:ascii="Times New Roman" w:hAnsi="Times New Roman" w:cs="Times New Roman"/>
      <w:color w:val="000000"/>
      <w:sz w:val="24"/>
      <w:szCs w:val="24"/>
    </w:rPr>
  </w:style>
  <w:style w:type="character" w:styleId="ListLabel1">
    <w:name w:val="ListLabel 1"/>
    <w:qFormat/>
    <w:rPr>
      <w:rFonts w:cs="Times New Roman"/>
      <w:b/>
      <w:i w:val="false"/>
    </w:rPr>
  </w:style>
  <w:style w:type="character" w:styleId="ListLabel2">
    <w:name w:val="ListLabel 2"/>
    <w:qFormat/>
    <w:rPr>
      <w:rFonts w:cs="Times New Roman"/>
    </w:rPr>
  </w:style>
  <w:style w:type="character" w:styleId="ListLabel3">
    <w:name w:val="ListLabel 3"/>
    <w:qFormat/>
    <w:rPr>
      <w:rFonts w:cs="Times New Roman"/>
    </w:rPr>
  </w:style>
  <w:style w:type="character" w:styleId="ListLabel4">
    <w:name w:val="ListLabel 4"/>
    <w:qFormat/>
    <w:rPr>
      <w:rFonts w:cs="Times New Roman"/>
    </w:rPr>
  </w:style>
  <w:style w:type="character" w:styleId="ListLabel5">
    <w:name w:val="ListLabel 5"/>
    <w:qFormat/>
    <w:rPr>
      <w:rFonts w:cs="Times New Roman"/>
    </w:rPr>
  </w:style>
  <w:style w:type="character" w:styleId="ListLabel6">
    <w:name w:val="ListLabel 6"/>
    <w:qFormat/>
    <w:rPr>
      <w:rFonts w:cs="Times New Roman"/>
    </w:rPr>
  </w:style>
  <w:style w:type="character" w:styleId="ListLabel7">
    <w:name w:val="ListLabel 7"/>
    <w:qFormat/>
    <w:rPr>
      <w:rFonts w:cs="Times New Roman"/>
    </w:rPr>
  </w:style>
  <w:style w:type="character" w:styleId="ListLabel8">
    <w:name w:val="ListLabel 8"/>
    <w:qFormat/>
    <w:rPr>
      <w:rFonts w:cs="Times New Roman"/>
    </w:rPr>
  </w:style>
  <w:style w:type="character" w:styleId="ListLabel9">
    <w:name w:val="ListLabel 9"/>
    <w:qFormat/>
    <w:rPr>
      <w:rFonts w:cs="Times New Roman"/>
    </w:rPr>
  </w:style>
  <w:style w:type="character" w:styleId="ListLabel10">
    <w:name w:val="ListLabel 10"/>
    <w:qFormat/>
    <w:rPr>
      <w:rFonts w:cs="Arial"/>
      <w:b/>
      <w:bCs/>
      <w:i w:val="false"/>
      <w:iCs w:val="false"/>
      <w:sz w:val="22"/>
      <w:szCs w:val="22"/>
    </w:rPr>
  </w:style>
  <w:style w:type="character" w:styleId="ListLabel11">
    <w:name w:val="ListLabel 11"/>
    <w:qFormat/>
    <w:rPr>
      <w:rFonts w:cs="Times New Roman"/>
      <w:b/>
      <w:bCs/>
      <w:i w:val="false"/>
      <w:iCs w:val="false"/>
      <w:sz w:val="22"/>
      <w:szCs w:val="22"/>
    </w:rPr>
  </w:style>
  <w:style w:type="character" w:styleId="ListLabel12">
    <w:name w:val="ListLabel 12"/>
    <w:qFormat/>
    <w:rPr>
      <w:rFonts w:cs="Times New Roman"/>
    </w:rPr>
  </w:style>
  <w:style w:type="character" w:styleId="ListLabel13">
    <w:name w:val="ListLabel 13"/>
    <w:qFormat/>
    <w:rPr>
      <w:rFonts w:cs="Times New Roman"/>
    </w:rPr>
  </w:style>
  <w:style w:type="character" w:styleId="ListLabel14">
    <w:name w:val="ListLabel 14"/>
    <w:qFormat/>
    <w:rPr>
      <w:rFonts w:cs="Times New Roman"/>
    </w:rPr>
  </w:style>
  <w:style w:type="character" w:styleId="ListLabel15">
    <w:name w:val="ListLabel 15"/>
    <w:qFormat/>
    <w:rPr>
      <w:rFonts w:cs="Times New Roman"/>
    </w:rPr>
  </w:style>
  <w:style w:type="character" w:styleId="ListLabel16">
    <w:name w:val="ListLabel 16"/>
    <w:qFormat/>
    <w:rPr>
      <w:rFonts w:cs="Times New Roman"/>
    </w:rPr>
  </w:style>
  <w:style w:type="character" w:styleId="ListLabel17">
    <w:name w:val="ListLabel 17"/>
    <w:qFormat/>
    <w:rPr>
      <w:rFonts w:cs="Times New Roman"/>
    </w:rPr>
  </w:style>
  <w:style w:type="character" w:styleId="ListLabel18">
    <w:name w:val="ListLabel 18"/>
    <w:qFormat/>
    <w:rPr>
      <w:rFonts w:cs="Times New Roman"/>
    </w:rPr>
  </w:style>
  <w:style w:type="character" w:styleId="ListLabel19">
    <w:name w:val="ListLabel 19"/>
    <w:qFormat/>
    <w:rPr>
      <w:rFonts w:cs="Times New Roman"/>
      <w:b/>
      <w:bCs/>
      <w:i w:val="false"/>
      <w:iCs w:val="false"/>
      <w:sz w:val="24"/>
      <w:szCs w:val="24"/>
    </w:rPr>
  </w:style>
  <w:style w:type="character" w:styleId="ListLabel20">
    <w:name w:val="ListLabel 20"/>
    <w:qFormat/>
    <w:rPr>
      <w:rFonts w:cs="Times New Roman"/>
      <w:b/>
      <w:bCs/>
      <w:i w:val="false"/>
      <w:iCs w:val="false"/>
      <w:sz w:val="22"/>
      <w:szCs w:val="22"/>
    </w:rPr>
  </w:style>
  <w:style w:type="character" w:styleId="ListLabel21">
    <w:name w:val="ListLabel 21"/>
    <w:qFormat/>
    <w:rPr>
      <w:rFonts w:cs="Times New Roman"/>
    </w:rPr>
  </w:style>
  <w:style w:type="character" w:styleId="ListLabel22">
    <w:name w:val="ListLabel 22"/>
    <w:qFormat/>
    <w:rPr>
      <w:rFonts w:cs="Times New Roman"/>
    </w:rPr>
  </w:style>
  <w:style w:type="character" w:styleId="ListLabel23">
    <w:name w:val="ListLabel 23"/>
    <w:qFormat/>
    <w:rPr>
      <w:rFonts w:cs="Times New Roman"/>
    </w:rPr>
  </w:style>
  <w:style w:type="character" w:styleId="ListLabel24">
    <w:name w:val="ListLabel 24"/>
    <w:qFormat/>
    <w:rPr>
      <w:rFonts w:cs="Times New Roman"/>
    </w:rPr>
  </w:style>
  <w:style w:type="character" w:styleId="ListLabel25">
    <w:name w:val="ListLabel 25"/>
    <w:qFormat/>
    <w:rPr>
      <w:rFonts w:cs="Times New Roman"/>
    </w:rPr>
  </w:style>
  <w:style w:type="character" w:styleId="ListLabel26">
    <w:name w:val="ListLabel 26"/>
    <w:qFormat/>
    <w:rPr>
      <w:rFonts w:cs="Times New Roman"/>
    </w:rPr>
  </w:style>
  <w:style w:type="character" w:styleId="ListLabel27">
    <w:name w:val="ListLabel 27"/>
    <w:qFormat/>
    <w:rPr>
      <w:rFonts w:cs="Times New Roman"/>
    </w:rPr>
  </w:style>
  <w:style w:type="character" w:styleId="ListLabel28">
    <w:name w:val="ListLabel 28"/>
    <w:qFormat/>
    <w:rPr>
      <w:rFonts w:ascii="Times New Roman" w:hAnsi="Times New Roman" w:cs="Arial"/>
      <w:b/>
      <w:color w:val="0D0D0D"/>
      <w:sz w:val="24"/>
    </w:rPr>
  </w:style>
  <w:style w:type="character" w:styleId="ListLabel29">
    <w:name w:val="ListLabel 29"/>
    <w:qFormat/>
    <w:rPr>
      <w:rFonts w:cs="Times New Roman"/>
    </w:rPr>
  </w:style>
  <w:style w:type="character" w:styleId="ListLabel30">
    <w:name w:val="ListLabel 30"/>
    <w:qFormat/>
    <w:rPr>
      <w:rFonts w:cs="Times New Roman"/>
    </w:rPr>
  </w:style>
  <w:style w:type="character" w:styleId="ListLabel31">
    <w:name w:val="ListLabel 31"/>
    <w:qFormat/>
    <w:rPr>
      <w:rFonts w:cs="Times New Roman"/>
    </w:rPr>
  </w:style>
  <w:style w:type="character" w:styleId="ListLabel32">
    <w:name w:val="ListLabel 32"/>
    <w:qFormat/>
    <w:rPr>
      <w:rFonts w:cs="Times New Roman"/>
    </w:rPr>
  </w:style>
  <w:style w:type="character" w:styleId="ListLabel33">
    <w:name w:val="ListLabel 33"/>
    <w:qFormat/>
    <w:rPr>
      <w:rFonts w:cs="Times New Roman"/>
    </w:rPr>
  </w:style>
  <w:style w:type="character" w:styleId="ListLabel34">
    <w:name w:val="ListLabel 34"/>
    <w:qFormat/>
    <w:rPr>
      <w:rFonts w:cs="Times New Roman"/>
    </w:rPr>
  </w:style>
  <w:style w:type="character" w:styleId="ListLabel35">
    <w:name w:val="ListLabel 35"/>
    <w:qFormat/>
    <w:rPr>
      <w:rFonts w:cs="Times New Roman"/>
    </w:rPr>
  </w:style>
  <w:style w:type="character" w:styleId="ListLabel36">
    <w:name w:val="ListLabel 36"/>
    <w:qFormat/>
    <w:rPr>
      <w:rFonts w:cs="Times New Roman"/>
    </w:rPr>
  </w:style>
  <w:style w:type="character" w:styleId="ListLabel37">
    <w:name w:val="ListLabel 37"/>
    <w:qFormat/>
    <w:rPr>
      <w:rFonts w:cs="Courier New"/>
    </w:rPr>
  </w:style>
  <w:style w:type="character" w:styleId="ListLabel38">
    <w:name w:val="ListLabel 38"/>
    <w:qFormat/>
    <w:rPr>
      <w:rFonts w:cs="Courier New"/>
    </w:rPr>
  </w:style>
  <w:style w:type="character" w:styleId="ListLabel39">
    <w:name w:val="ListLabel 39"/>
    <w:qFormat/>
    <w:rPr>
      <w:rFonts w:cs="Courier New"/>
    </w:rPr>
  </w:style>
  <w:style w:type="character" w:styleId="ListLabel40">
    <w:name w:val="ListLabel 40"/>
    <w:qFormat/>
    <w:rPr>
      <w:rFonts w:cs="Courier New"/>
    </w:rPr>
  </w:style>
  <w:style w:type="character" w:styleId="ListLabel41">
    <w:name w:val="ListLabel 41"/>
    <w:qFormat/>
    <w:rPr>
      <w:rFonts w:cs="Courier New"/>
    </w:rPr>
  </w:style>
  <w:style w:type="character" w:styleId="ListLabel42">
    <w:name w:val="ListLabel 42"/>
    <w:qFormat/>
    <w:rPr>
      <w:rFonts w:cs="Courier New"/>
    </w:rPr>
  </w:style>
  <w:style w:type="character" w:styleId="ListLabel43">
    <w:name w:val="ListLabel 43"/>
    <w:qFormat/>
    <w:rPr>
      <w:rFonts w:cs="Courier New"/>
    </w:rPr>
  </w:style>
  <w:style w:type="character" w:styleId="ListLabel44">
    <w:name w:val="ListLabel 44"/>
    <w:qFormat/>
    <w:rPr>
      <w:rFonts w:cs="Courier New"/>
    </w:rPr>
  </w:style>
  <w:style w:type="character" w:styleId="ListLabel45">
    <w:name w:val="ListLabel 45"/>
    <w:qFormat/>
    <w:rPr>
      <w:rFonts w:cs="Courier New"/>
    </w:rPr>
  </w:style>
  <w:style w:type="character" w:styleId="ListLabel46">
    <w:name w:val="ListLabel 46"/>
    <w:qFormat/>
    <w:rPr>
      <w:rFonts w:cs="Courier New"/>
    </w:rPr>
  </w:style>
  <w:style w:type="character" w:styleId="ListLabel47">
    <w:name w:val="ListLabel 47"/>
    <w:qFormat/>
    <w:rPr>
      <w:rFonts w:cs="Courier New"/>
    </w:rPr>
  </w:style>
  <w:style w:type="character" w:styleId="ListLabel48">
    <w:name w:val="ListLabel 48"/>
    <w:qFormat/>
    <w:rPr>
      <w:rFonts w:cs="Courier New"/>
    </w:rPr>
  </w:style>
  <w:style w:type="character" w:styleId="ListLabel49">
    <w:name w:val="ListLabel 49"/>
    <w:qFormat/>
    <w:rPr>
      <w:rFonts w:cs="Courier New"/>
    </w:rPr>
  </w:style>
  <w:style w:type="character" w:styleId="ListLabel50">
    <w:name w:val="ListLabel 50"/>
    <w:qFormat/>
    <w:rPr>
      <w:rFonts w:cs="Courier New"/>
    </w:rPr>
  </w:style>
  <w:style w:type="character" w:styleId="ListLabel51">
    <w:name w:val="ListLabel 51"/>
    <w:qFormat/>
    <w:rPr>
      <w:rFonts w:cs="Courier New"/>
    </w:rPr>
  </w:style>
  <w:style w:type="character" w:styleId="ListLabel52">
    <w:name w:val="ListLabel 52"/>
    <w:qFormat/>
    <w:rPr>
      <w:rFonts w:cs="Courier New"/>
    </w:rPr>
  </w:style>
  <w:style w:type="character" w:styleId="ListLabel53">
    <w:name w:val="ListLabel 53"/>
    <w:qFormat/>
    <w:rPr>
      <w:rFonts w:cs="Courier New"/>
    </w:rPr>
  </w:style>
  <w:style w:type="character" w:styleId="ListLabel54">
    <w:name w:val="ListLabel 54"/>
    <w:qFormat/>
    <w:rPr>
      <w:rFonts w:cs="Courier New"/>
    </w:rPr>
  </w:style>
  <w:style w:type="character" w:styleId="ListLabel55">
    <w:name w:val="ListLabel 55"/>
    <w:qFormat/>
    <w:rPr>
      <w:rFonts w:cs="Courier New"/>
    </w:rPr>
  </w:style>
  <w:style w:type="character" w:styleId="ListLabel56">
    <w:name w:val="ListLabel 56"/>
    <w:qFormat/>
    <w:rPr>
      <w:rFonts w:cs="Courier New"/>
    </w:rPr>
  </w:style>
  <w:style w:type="character" w:styleId="ListLabel57">
    <w:name w:val="ListLabel 57"/>
    <w:qFormat/>
    <w:rPr>
      <w:rFonts w:cs="Courier New"/>
    </w:rPr>
  </w:style>
  <w:style w:type="character" w:styleId="ListLabel58">
    <w:name w:val="ListLabel 58"/>
    <w:qFormat/>
    <w:rPr>
      <w:rFonts w:eastAsia="Arial" w:cs=""/>
    </w:rPr>
  </w:style>
  <w:style w:type="character" w:styleId="ListLabel59">
    <w:name w:val="ListLabel 59"/>
    <w:qFormat/>
    <w:rPr>
      <w:rFonts w:cs="Courier New"/>
    </w:rPr>
  </w:style>
  <w:style w:type="character" w:styleId="ListLabel60">
    <w:name w:val="ListLabel 60"/>
    <w:qFormat/>
    <w:rPr>
      <w:rFonts w:cs="Courier New"/>
    </w:rPr>
  </w:style>
  <w:style w:type="character" w:styleId="ListLabel61">
    <w:name w:val="ListLabel 61"/>
    <w:qFormat/>
    <w:rPr>
      <w:rFonts w:cs="Courier New"/>
    </w:rPr>
  </w:style>
  <w:style w:type="character" w:styleId="ListLabel62">
    <w:name w:val="ListLabel 62"/>
    <w:qFormat/>
    <w:rPr>
      <w:b w:val="false"/>
      <w:bCs/>
    </w:rPr>
  </w:style>
  <w:style w:type="character" w:styleId="ListLabel63">
    <w:name w:val="ListLabel 63"/>
    <w:qFormat/>
    <w:rPr>
      <w:b w:val="false"/>
      <w:bCs/>
    </w:rPr>
  </w:style>
  <w:style w:type="character" w:styleId="ListLabel64">
    <w:name w:val="ListLabel 64"/>
    <w:qFormat/>
    <w:rPr>
      <w:rFonts w:cs="Arial"/>
      <w:b/>
      <w:color w:val="1F497D"/>
    </w:rPr>
  </w:style>
  <w:style w:type="character" w:styleId="ListLabel65">
    <w:name w:val="ListLabel 65"/>
    <w:qFormat/>
    <w:rPr>
      <w:rFonts w:cs="Times New Roman"/>
    </w:rPr>
  </w:style>
  <w:style w:type="character" w:styleId="ListLabel66">
    <w:name w:val="ListLabel 66"/>
    <w:qFormat/>
    <w:rPr>
      <w:rFonts w:cs="Times New Roman"/>
    </w:rPr>
  </w:style>
  <w:style w:type="character" w:styleId="ListLabel67">
    <w:name w:val="ListLabel 67"/>
    <w:qFormat/>
    <w:rPr>
      <w:rFonts w:cs="Times New Roman"/>
    </w:rPr>
  </w:style>
  <w:style w:type="character" w:styleId="ListLabel68">
    <w:name w:val="ListLabel 68"/>
    <w:qFormat/>
    <w:rPr>
      <w:rFonts w:cs="Times New Roman"/>
    </w:rPr>
  </w:style>
  <w:style w:type="character" w:styleId="ListLabel69">
    <w:name w:val="ListLabel 69"/>
    <w:qFormat/>
    <w:rPr>
      <w:rFonts w:cs="Times New Roman"/>
    </w:rPr>
  </w:style>
  <w:style w:type="character" w:styleId="ListLabel70">
    <w:name w:val="ListLabel 70"/>
    <w:qFormat/>
    <w:rPr>
      <w:rFonts w:cs="Times New Roman"/>
    </w:rPr>
  </w:style>
  <w:style w:type="character" w:styleId="ListLabel71">
    <w:name w:val="ListLabel 71"/>
    <w:qFormat/>
    <w:rPr>
      <w:rFonts w:cs="Times New Roman"/>
    </w:rPr>
  </w:style>
  <w:style w:type="character" w:styleId="ListLabel72">
    <w:name w:val="ListLabel 72"/>
    <w:qFormat/>
    <w:rPr>
      <w:rFonts w:cs="Times New Roman"/>
    </w:rPr>
  </w:style>
  <w:style w:type="character" w:styleId="ListLabel73">
    <w:name w:val="ListLabel 73"/>
    <w:qFormat/>
    <w:rPr>
      <w:rFonts w:cs="Arial"/>
      <w:b/>
      <w:color w:val="0D0D0D"/>
      <w:sz w:val="24"/>
    </w:rPr>
  </w:style>
  <w:style w:type="character" w:styleId="ListLabel74">
    <w:name w:val="ListLabel 74"/>
    <w:qFormat/>
    <w:rPr>
      <w:rFonts w:cs="Times New Roman"/>
    </w:rPr>
  </w:style>
  <w:style w:type="character" w:styleId="ListLabel75">
    <w:name w:val="ListLabel 75"/>
    <w:qFormat/>
    <w:rPr>
      <w:rFonts w:cs="Times New Roman"/>
    </w:rPr>
  </w:style>
  <w:style w:type="character" w:styleId="ListLabel76">
    <w:name w:val="ListLabel 76"/>
    <w:qFormat/>
    <w:rPr>
      <w:rFonts w:cs="Times New Roman"/>
    </w:rPr>
  </w:style>
  <w:style w:type="character" w:styleId="ListLabel77">
    <w:name w:val="ListLabel 77"/>
    <w:qFormat/>
    <w:rPr>
      <w:rFonts w:cs="Times New Roman"/>
    </w:rPr>
  </w:style>
  <w:style w:type="character" w:styleId="ListLabel78">
    <w:name w:val="ListLabel 78"/>
    <w:qFormat/>
    <w:rPr>
      <w:rFonts w:cs="Times New Roman"/>
    </w:rPr>
  </w:style>
  <w:style w:type="character" w:styleId="ListLabel79">
    <w:name w:val="ListLabel 79"/>
    <w:qFormat/>
    <w:rPr>
      <w:rFonts w:cs="Times New Roman"/>
    </w:rPr>
  </w:style>
  <w:style w:type="character" w:styleId="ListLabel80">
    <w:name w:val="ListLabel 80"/>
    <w:qFormat/>
    <w:rPr>
      <w:rFonts w:cs="Times New Roman"/>
    </w:rPr>
  </w:style>
  <w:style w:type="character" w:styleId="ListLabel81">
    <w:name w:val="ListLabel 81"/>
    <w:qFormat/>
    <w:rPr>
      <w:rFonts w:cs="Times New Roman"/>
    </w:rPr>
  </w:style>
  <w:style w:type="character" w:styleId="ListLabel82">
    <w:name w:val="ListLabel 82"/>
    <w:qFormat/>
    <w:rPr>
      <w:rFonts w:cs="Arial"/>
      <w:b/>
      <w:color w:val="0D0D0D"/>
      <w:sz w:val="24"/>
    </w:rPr>
  </w:style>
  <w:style w:type="character" w:styleId="ListLabel83">
    <w:name w:val="ListLabel 83"/>
    <w:qFormat/>
    <w:rPr>
      <w:rFonts w:cs="Times New Roman"/>
    </w:rPr>
  </w:style>
  <w:style w:type="character" w:styleId="ListLabel84">
    <w:name w:val="ListLabel 84"/>
    <w:qFormat/>
    <w:rPr>
      <w:rFonts w:cs="Times New Roman"/>
    </w:rPr>
  </w:style>
  <w:style w:type="character" w:styleId="ListLabel85">
    <w:name w:val="ListLabel 85"/>
    <w:qFormat/>
    <w:rPr>
      <w:rFonts w:cs="Times New Roman"/>
    </w:rPr>
  </w:style>
  <w:style w:type="character" w:styleId="ListLabel86">
    <w:name w:val="ListLabel 86"/>
    <w:qFormat/>
    <w:rPr>
      <w:rFonts w:cs="Times New Roman"/>
    </w:rPr>
  </w:style>
  <w:style w:type="character" w:styleId="ListLabel87">
    <w:name w:val="ListLabel 87"/>
    <w:qFormat/>
    <w:rPr>
      <w:rFonts w:cs="Times New Roman"/>
    </w:rPr>
  </w:style>
  <w:style w:type="character" w:styleId="ListLabel88">
    <w:name w:val="ListLabel 88"/>
    <w:qFormat/>
    <w:rPr>
      <w:rFonts w:cs="Times New Roman"/>
    </w:rPr>
  </w:style>
  <w:style w:type="character" w:styleId="ListLabel89">
    <w:name w:val="ListLabel 89"/>
    <w:qFormat/>
    <w:rPr>
      <w:rFonts w:cs="Times New Roman"/>
    </w:rPr>
  </w:style>
  <w:style w:type="character" w:styleId="ListLabel90">
    <w:name w:val="ListLabel 90"/>
    <w:qFormat/>
    <w:rPr>
      <w:rFonts w:cs="Times New Roman"/>
    </w:rPr>
  </w:style>
  <w:style w:type="character" w:styleId="ListLabel91">
    <w:name w:val="ListLabel 91"/>
    <w:qFormat/>
    <w:rPr>
      <w:rFonts w:cs="Arial"/>
      <w:b/>
      <w:color w:val="0D0D0D"/>
      <w:sz w:val="24"/>
    </w:rPr>
  </w:style>
  <w:style w:type="character" w:styleId="ListLabel92">
    <w:name w:val="ListLabel 92"/>
    <w:qFormat/>
    <w:rPr>
      <w:rFonts w:cs="Times New Roman"/>
    </w:rPr>
  </w:style>
  <w:style w:type="character" w:styleId="ListLabel93">
    <w:name w:val="ListLabel 93"/>
    <w:qFormat/>
    <w:rPr>
      <w:rFonts w:cs="Times New Roman"/>
    </w:rPr>
  </w:style>
  <w:style w:type="character" w:styleId="ListLabel94">
    <w:name w:val="ListLabel 94"/>
    <w:qFormat/>
    <w:rPr>
      <w:rFonts w:cs="Times New Roman"/>
    </w:rPr>
  </w:style>
  <w:style w:type="character" w:styleId="ListLabel95">
    <w:name w:val="ListLabel 95"/>
    <w:qFormat/>
    <w:rPr>
      <w:rFonts w:cs="Times New Roman"/>
    </w:rPr>
  </w:style>
  <w:style w:type="character" w:styleId="ListLabel96">
    <w:name w:val="ListLabel 96"/>
    <w:qFormat/>
    <w:rPr>
      <w:rFonts w:cs="Times New Roman"/>
    </w:rPr>
  </w:style>
  <w:style w:type="character" w:styleId="ListLabel97">
    <w:name w:val="ListLabel 97"/>
    <w:qFormat/>
    <w:rPr>
      <w:rFonts w:cs="Times New Roman"/>
    </w:rPr>
  </w:style>
  <w:style w:type="character" w:styleId="ListLabel98">
    <w:name w:val="ListLabel 98"/>
    <w:qFormat/>
    <w:rPr>
      <w:rFonts w:cs="Times New Roman"/>
    </w:rPr>
  </w:style>
  <w:style w:type="character" w:styleId="ListLabel99">
    <w:name w:val="ListLabel 99"/>
    <w:qFormat/>
    <w:rPr>
      <w:rFonts w:cs="Times New Roman"/>
    </w:rPr>
  </w:style>
  <w:style w:type="character" w:styleId="ListLabel100">
    <w:name w:val="ListLabel 100"/>
    <w:qFormat/>
    <w:rPr>
      <w:rFonts w:ascii="Times New Roman" w:hAnsi="Times New Roman" w:eastAsia="Arial" w:cs="Times New Roman"/>
      <w:sz w:val="24"/>
    </w:rPr>
  </w:style>
  <w:style w:type="character" w:styleId="ListLabel101">
    <w:name w:val="ListLabel 101"/>
    <w:qFormat/>
    <w:rPr>
      <w:rFonts w:cs="Courier New"/>
    </w:rPr>
  </w:style>
  <w:style w:type="character" w:styleId="ListLabel102">
    <w:name w:val="ListLabel 102"/>
    <w:qFormat/>
    <w:rPr>
      <w:rFonts w:cs="Courier New"/>
    </w:rPr>
  </w:style>
  <w:style w:type="character" w:styleId="ListLabel103">
    <w:name w:val="ListLabel 103"/>
    <w:qFormat/>
    <w:rPr>
      <w:rFonts w:cs="Courier New"/>
    </w:rPr>
  </w:style>
  <w:style w:type="character" w:styleId="ListLabel104">
    <w:name w:val="ListLabel 104"/>
    <w:qFormat/>
    <w:rPr>
      <w:rFonts w:cs="Times New Roman"/>
      <w:b/>
      <w:bCs/>
      <w:i w:val="false"/>
      <w:iCs w:val="false"/>
      <w:sz w:val="24"/>
      <w:szCs w:val="24"/>
    </w:rPr>
  </w:style>
  <w:style w:type="character" w:styleId="ListLabel105">
    <w:name w:val="ListLabel 105"/>
    <w:qFormat/>
    <w:rPr>
      <w:rFonts w:cs="Times New Roman"/>
      <w:b/>
      <w:bCs/>
      <w:i w:val="false"/>
      <w:iCs w:val="false"/>
      <w:sz w:val="22"/>
      <w:szCs w:val="22"/>
    </w:rPr>
  </w:style>
  <w:style w:type="character" w:styleId="ListLabel106">
    <w:name w:val="ListLabel 106"/>
    <w:qFormat/>
    <w:rPr>
      <w:rFonts w:cs="Times New Roman"/>
    </w:rPr>
  </w:style>
  <w:style w:type="character" w:styleId="ListLabel107">
    <w:name w:val="ListLabel 107"/>
    <w:qFormat/>
    <w:rPr>
      <w:rFonts w:cs="Times New Roman"/>
    </w:rPr>
  </w:style>
  <w:style w:type="character" w:styleId="ListLabel108">
    <w:name w:val="ListLabel 108"/>
    <w:qFormat/>
    <w:rPr>
      <w:rFonts w:cs="Times New Roman"/>
    </w:rPr>
  </w:style>
  <w:style w:type="character" w:styleId="ListLabel109">
    <w:name w:val="ListLabel 109"/>
    <w:qFormat/>
    <w:rPr>
      <w:rFonts w:cs="Times New Roman"/>
    </w:rPr>
  </w:style>
  <w:style w:type="character" w:styleId="ListLabel110">
    <w:name w:val="ListLabel 110"/>
    <w:qFormat/>
    <w:rPr>
      <w:rFonts w:cs="Times New Roman"/>
    </w:rPr>
  </w:style>
  <w:style w:type="character" w:styleId="ListLabel111">
    <w:name w:val="ListLabel 111"/>
    <w:qFormat/>
    <w:rPr>
      <w:rFonts w:cs="Times New Roman"/>
    </w:rPr>
  </w:style>
  <w:style w:type="character" w:styleId="ListLabel112">
    <w:name w:val="ListLabel 112"/>
    <w:qFormat/>
    <w:rPr>
      <w:rFonts w:cs="Times New Roman"/>
    </w:rPr>
  </w:style>
  <w:style w:type="character" w:styleId="ListLabel113">
    <w:name w:val="ListLabel 113"/>
    <w:qFormat/>
    <w:rPr>
      <w:rFonts w:cs="Wingdings"/>
      <w:sz w:val="28"/>
      <w:szCs w:val="28"/>
    </w:rPr>
  </w:style>
  <w:style w:type="character" w:styleId="ListLabel114">
    <w:name w:val="ListLabel 114"/>
    <w:qFormat/>
    <w:rPr>
      <w:rFonts w:cs="Wingdings"/>
      <w:sz w:val="28"/>
      <w:szCs w:val="28"/>
    </w:rPr>
  </w:style>
  <w:style w:type="character" w:styleId="ListLabel115">
    <w:name w:val="ListLabel 115"/>
    <w:qFormat/>
    <w:rPr>
      <w:rFonts w:cs="Wingdings"/>
      <w:sz w:val="28"/>
      <w:szCs w:val="28"/>
    </w:rPr>
  </w:style>
  <w:style w:type="character" w:styleId="ListLabel116">
    <w:name w:val="ListLabel 116"/>
    <w:qFormat/>
    <w:rPr>
      <w:rFonts w:cs="Wingdings"/>
      <w:sz w:val="28"/>
      <w:szCs w:val="28"/>
    </w:rPr>
  </w:style>
  <w:style w:type="character" w:styleId="ListLabel117">
    <w:name w:val="ListLabel 117"/>
    <w:qFormat/>
    <w:rPr>
      <w:rFonts w:cs="Wingdings"/>
      <w:sz w:val="28"/>
      <w:szCs w:val="28"/>
    </w:rPr>
  </w:style>
  <w:style w:type="character" w:styleId="ListLabel118">
    <w:name w:val="ListLabel 118"/>
    <w:qFormat/>
    <w:rPr>
      <w:rFonts w:cs="Wingdings"/>
      <w:sz w:val="28"/>
      <w:szCs w:val="28"/>
    </w:rPr>
  </w:style>
  <w:style w:type="character" w:styleId="ListLabel119">
    <w:name w:val="ListLabel 119"/>
    <w:qFormat/>
    <w:rPr>
      <w:rFonts w:cs="Wingdings"/>
      <w:sz w:val="28"/>
      <w:szCs w:val="28"/>
    </w:rPr>
  </w:style>
  <w:style w:type="character" w:styleId="ListLabel120">
    <w:name w:val="ListLabel 120"/>
    <w:qFormat/>
    <w:rPr>
      <w:rFonts w:cs="Wingdings"/>
      <w:sz w:val="28"/>
      <w:szCs w:val="28"/>
    </w:rPr>
  </w:style>
  <w:style w:type="character" w:styleId="ListLabel121">
    <w:name w:val="ListLabel 121"/>
    <w:qFormat/>
    <w:rPr>
      <w:rFonts w:cs="Wingdings"/>
      <w:sz w:val="28"/>
      <w:szCs w:val="28"/>
    </w:rPr>
  </w:style>
  <w:style w:type="character" w:styleId="ListLabel122">
    <w:name w:val="ListLabel 122"/>
    <w:qFormat/>
    <w:rPr>
      <w:rFonts w:cs="Wingdings"/>
      <w:sz w:val="28"/>
      <w:szCs w:val="28"/>
    </w:rPr>
  </w:style>
  <w:style w:type="character" w:styleId="ListLabel123">
    <w:name w:val="ListLabel 123"/>
    <w:qFormat/>
    <w:rPr>
      <w:rFonts w:cs="Wingdings"/>
      <w:sz w:val="28"/>
      <w:szCs w:val="28"/>
    </w:rPr>
  </w:style>
  <w:style w:type="character" w:styleId="ListLabel124">
    <w:name w:val="ListLabel 124"/>
    <w:qFormat/>
    <w:rPr>
      <w:rFonts w:cs="Wingdings"/>
      <w:sz w:val="28"/>
      <w:szCs w:val="28"/>
    </w:rPr>
  </w:style>
  <w:style w:type="character" w:styleId="ListLabel125">
    <w:name w:val="ListLabel 125"/>
    <w:qFormat/>
    <w:rPr>
      <w:rFonts w:cs="Wingdings"/>
      <w:sz w:val="28"/>
      <w:szCs w:val="28"/>
    </w:rPr>
  </w:style>
  <w:style w:type="character" w:styleId="ListLabel126">
    <w:name w:val="ListLabel 126"/>
    <w:qFormat/>
    <w:rPr>
      <w:rFonts w:cs="Wingdings"/>
      <w:sz w:val="28"/>
      <w:szCs w:val="28"/>
    </w:rPr>
  </w:style>
  <w:style w:type="character" w:styleId="ListLabel127">
    <w:name w:val="ListLabel 127"/>
    <w:qFormat/>
    <w:rPr>
      <w:rFonts w:cs="Wingdings"/>
      <w:sz w:val="28"/>
      <w:szCs w:val="28"/>
    </w:rPr>
  </w:style>
  <w:style w:type="character" w:styleId="ListLabel128">
    <w:name w:val="ListLabel 128"/>
    <w:qFormat/>
    <w:rPr>
      <w:rFonts w:cs="Wingdings"/>
      <w:sz w:val="28"/>
      <w:szCs w:val="28"/>
    </w:rPr>
  </w:style>
  <w:style w:type="character" w:styleId="ListLabel129">
    <w:name w:val="ListLabel 129"/>
    <w:qFormat/>
    <w:rPr>
      <w:rFonts w:cs="Wingdings"/>
      <w:sz w:val="28"/>
      <w:szCs w:val="28"/>
    </w:rPr>
  </w:style>
  <w:style w:type="character" w:styleId="ListLabel130">
    <w:name w:val="ListLabel 130"/>
    <w:qFormat/>
    <w:rPr>
      <w:rFonts w:cs="Wingdings"/>
      <w:sz w:val="28"/>
      <w:szCs w:val="28"/>
    </w:rPr>
  </w:style>
  <w:style w:type="character" w:styleId="ListLabel131">
    <w:name w:val="ListLabel 131"/>
    <w:qFormat/>
    <w:rPr>
      <w:rFonts w:cs="Wingdings"/>
      <w:sz w:val="28"/>
      <w:szCs w:val="28"/>
    </w:rPr>
  </w:style>
  <w:style w:type="character" w:styleId="ListLabel132">
    <w:name w:val="ListLabel 132"/>
    <w:qFormat/>
    <w:rPr>
      <w:rFonts w:cs="Wingdings"/>
      <w:sz w:val="28"/>
      <w:szCs w:val="28"/>
    </w:rPr>
  </w:style>
  <w:style w:type="character" w:styleId="ListLabel133">
    <w:name w:val="ListLabel 133"/>
    <w:qFormat/>
    <w:rPr>
      <w:rFonts w:cs="Wingdings"/>
      <w:sz w:val="28"/>
      <w:szCs w:val="28"/>
    </w:rPr>
  </w:style>
  <w:style w:type="character" w:styleId="ListLabel134">
    <w:name w:val="ListLabel 134"/>
    <w:qFormat/>
    <w:rPr>
      <w:rFonts w:cs="Wingdings"/>
      <w:sz w:val="28"/>
      <w:szCs w:val="28"/>
    </w:rPr>
  </w:style>
  <w:style w:type="character" w:styleId="ListLabel135">
    <w:name w:val="ListLabel 135"/>
    <w:qFormat/>
    <w:rPr>
      <w:rFonts w:cs="Wingdings"/>
      <w:sz w:val="28"/>
      <w:szCs w:val="28"/>
    </w:rPr>
  </w:style>
  <w:style w:type="character" w:styleId="ListLabel136">
    <w:name w:val="ListLabel 136"/>
    <w:qFormat/>
    <w:rPr>
      <w:rFonts w:cs="Wingdings"/>
      <w:sz w:val="28"/>
      <w:szCs w:val="28"/>
    </w:rPr>
  </w:style>
  <w:style w:type="character" w:styleId="ListLabel137">
    <w:name w:val="ListLabel 137"/>
    <w:qFormat/>
    <w:rPr>
      <w:rFonts w:cs="Wingdings"/>
      <w:sz w:val="28"/>
      <w:szCs w:val="28"/>
    </w:rPr>
  </w:style>
  <w:style w:type="character" w:styleId="ListLabel138">
    <w:name w:val="ListLabel 138"/>
    <w:qFormat/>
    <w:rPr>
      <w:rFonts w:cs="Wingdings"/>
      <w:sz w:val="28"/>
      <w:szCs w:val="28"/>
    </w:rPr>
  </w:style>
  <w:style w:type="character" w:styleId="ListLabel139">
    <w:name w:val="ListLabel 139"/>
    <w:qFormat/>
    <w:rPr>
      <w:rFonts w:cs="Wingdings"/>
      <w:sz w:val="28"/>
      <w:szCs w:val="28"/>
    </w:rPr>
  </w:style>
  <w:style w:type="character" w:styleId="ListLabel140">
    <w:name w:val="ListLabel 140"/>
    <w:qFormat/>
    <w:rPr>
      <w:rFonts w:ascii="Times New Roman" w:hAnsi="Times New Roman"/>
      <w:sz w:val="24"/>
      <w:szCs w:val="28"/>
    </w:rPr>
  </w:style>
  <w:style w:type="character" w:styleId="ListLabel141">
    <w:name w:val="ListLabel 141"/>
    <w:qFormat/>
    <w:rPr>
      <w:rFonts w:cs="Wingdings"/>
      <w:sz w:val="28"/>
      <w:szCs w:val="28"/>
    </w:rPr>
  </w:style>
  <w:style w:type="character" w:styleId="ListLabel142">
    <w:name w:val="ListLabel 142"/>
    <w:qFormat/>
    <w:rPr>
      <w:rFonts w:cs="Wingdings"/>
      <w:sz w:val="28"/>
      <w:szCs w:val="28"/>
    </w:rPr>
  </w:style>
  <w:style w:type="character" w:styleId="ListLabel143">
    <w:name w:val="ListLabel 143"/>
    <w:qFormat/>
    <w:rPr>
      <w:rFonts w:cs="Wingdings"/>
      <w:sz w:val="28"/>
      <w:szCs w:val="28"/>
    </w:rPr>
  </w:style>
  <w:style w:type="character" w:styleId="ListLabel144">
    <w:name w:val="ListLabel 144"/>
    <w:qFormat/>
    <w:rPr>
      <w:rFonts w:cs="Wingdings"/>
      <w:sz w:val="28"/>
      <w:szCs w:val="28"/>
    </w:rPr>
  </w:style>
  <w:style w:type="character" w:styleId="ListLabel145">
    <w:name w:val="ListLabel 145"/>
    <w:qFormat/>
    <w:rPr>
      <w:rFonts w:cs="Wingdings"/>
      <w:sz w:val="28"/>
      <w:szCs w:val="28"/>
    </w:rPr>
  </w:style>
  <w:style w:type="character" w:styleId="ListLabel146">
    <w:name w:val="ListLabel 146"/>
    <w:qFormat/>
    <w:rPr>
      <w:rFonts w:cs="Wingdings"/>
      <w:sz w:val="28"/>
      <w:szCs w:val="28"/>
    </w:rPr>
  </w:style>
  <w:style w:type="character" w:styleId="ListLabel147">
    <w:name w:val="ListLabel 147"/>
    <w:qFormat/>
    <w:rPr>
      <w:rFonts w:cs="Wingdings"/>
      <w:sz w:val="28"/>
      <w:szCs w:val="28"/>
    </w:rPr>
  </w:style>
  <w:style w:type="character" w:styleId="ListLabel148">
    <w:name w:val="ListLabel 148"/>
    <w:qFormat/>
    <w:rPr>
      <w:rFonts w:cs="Wingdings"/>
      <w:sz w:val="28"/>
      <w:szCs w:val="28"/>
    </w:rPr>
  </w:style>
  <w:style w:type="character" w:styleId="ListLabel149">
    <w:name w:val="ListLabel 149"/>
    <w:qFormat/>
    <w:rPr>
      <w:rFonts w:cs="Wingdings"/>
      <w:color w:val="000000"/>
      <w:sz w:val="28"/>
      <w:szCs w:val="28"/>
    </w:rPr>
  </w:style>
  <w:style w:type="character" w:styleId="ListLabel150">
    <w:name w:val="ListLabel 150"/>
    <w:qFormat/>
    <w:rPr>
      <w:rFonts w:cs="OpenSymbol"/>
    </w:rPr>
  </w:style>
  <w:style w:type="character" w:styleId="ListLabel151">
    <w:name w:val="ListLabel 151"/>
    <w:qFormat/>
    <w:rPr>
      <w:rFonts w:cs="OpenSymbol"/>
    </w:rPr>
  </w:style>
  <w:style w:type="character" w:styleId="ListLabel152">
    <w:name w:val="ListLabel 152"/>
    <w:qFormat/>
    <w:rPr>
      <w:rFonts w:cs="OpenSymbol"/>
    </w:rPr>
  </w:style>
  <w:style w:type="character" w:styleId="ListLabel153">
    <w:name w:val="ListLabel 153"/>
    <w:qFormat/>
    <w:rPr>
      <w:rFonts w:cs="OpenSymbol"/>
    </w:rPr>
  </w:style>
  <w:style w:type="character" w:styleId="ListLabel154">
    <w:name w:val="ListLabel 154"/>
    <w:qFormat/>
    <w:rPr>
      <w:rFonts w:cs="OpenSymbol"/>
    </w:rPr>
  </w:style>
  <w:style w:type="character" w:styleId="ListLabel155">
    <w:name w:val="ListLabel 155"/>
    <w:qFormat/>
    <w:rPr>
      <w:rFonts w:cs="OpenSymbol"/>
    </w:rPr>
  </w:style>
  <w:style w:type="character" w:styleId="ListLabel156">
    <w:name w:val="ListLabel 156"/>
    <w:qFormat/>
    <w:rPr>
      <w:rFonts w:cs="OpenSymbol"/>
    </w:rPr>
  </w:style>
  <w:style w:type="character" w:styleId="ListLabel157">
    <w:name w:val="ListLabel 157"/>
    <w:qFormat/>
    <w:rPr>
      <w:rFonts w:cs="OpenSymbol"/>
    </w:rPr>
  </w:style>
  <w:style w:type="character" w:styleId="ListLabel158">
    <w:name w:val="ListLabel 158"/>
    <w:qFormat/>
    <w:rPr>
      <w:rFonts w:cs="Courier New"/>
    </w:rPr>
  </w:style>
  <w:style w:type="character" w:styleId="ListLabel159">
    <w:name w:val="ListLabel 159"/>
    <w:qFormat/>
    <w:rPr>
      <w:rFonts w:cs="Courier New"/>
    </w:rPr>
  </w:style>
  <w:style w:type="character" w:styleId="ListLabel160">
    <w:name w:val="ListLabel 160"/>
    <w:qFormat/>
    <w:rPr>
      <w:rFonts w:cs="Courier New"/>
    </w:rPr>
  </w:style>
  <w:style w:type="character" w:styleId="ListLabel161">
    <w:name w:val="ListLabel 161"/>
    <w:qFormat/>
    <w:rPr>
      <w:rFonts w:cs="Courier New"/>
    </w:rPr>
  </w:style>
  <w:style w:type="character" w:styleId="ListLabel162">
    <w:name w:val="ListLabel 162"/>
    <w:qFormat/>
    <w:rPr>
      <w:rFonts w:cs="Courier New"/>
    </w:rPr>
  </w:style>
  <w:style w:type="character" w:styleId="ListLabel163">
    <w:name w:val="ListLabel 163"/>
    <w:qFormat/>
    <w:rPr>
      <w:rFonts w:cs="Courier New"/>
    </w:rPr>
  </w:style>
  <w:style w:type="character" w:styleId="Style21">
    <w:name w:val="Ссылка указателя"/>
    <w:qFormat/>
    <w:rPr/>
  </w:style>
  <w:style w:type="character" w:styleId="ListLabel164">
    <w:name w:val="ListLabel 164"/>
    <w:qFormat/>
    <w:rPr>
      <w:rFonts w:ascii="Times New Roman" w:hAnsi="Times New Roman" w:cs="Symbol"/>
      <w:sz w:val="24"/>
    </w:rPr>
  </w:style>
  <w:style w:type="character" w:styleId="ListLabel165">
    <w:name w:val="ListLabel 165"/>
    <w:qFormat/>
    <w:rPr>
      <w:rFonts w:cs="Courier New"/>
    </w:rPr>
  </w:style>
  <w:style w:type="character" w:styleId="ListLabel166">
    <w:name w:val="ListLabel 166"/>
    <w:qFormat/>
    <w:rPr>
      <w:rFonts w:cs="Wingdings"/>
    </w:rPr>
  </w:style>
  <w:style w:type="character" w:styleId="ListLabel167">
    <w:name w:val="ListLabel 167"/>
    <w:qFormat/>
    <w:rPr>
      <w:rFonts w:cs="Symbol"/>
    </w:rPr>
  </w:style>
  <w:style w:type="character" w:styleId="ListLabel168">
    <w:name w:val="ListLabel 168"/>
    <w:qFormat/>
    <w:rPr>
      <w:rFonts w:cs="Courier New"/>
    </w:rPr>
  </w:style>
  <w:style w:type="character" w:styleId="ListLabel169">
    <w:name w:val="ListLabel 169"/>
    <w:qFormat/>
    <w:rPr>
      <w:rFonts w:cs="Wingdings"/>
    </w:rPr>
  </w:style>
  <w:style w:type="character" w:styleId="ListLabel170">
    <w:name w:val="ListLabel 170"/>
    <w:qFormat/>
    <w:rPr>
      <w:rFonts w:cs="Symbol"/>
    </w:rPr>
  </w:style>
  <w:style w:type="character" w:styleId="ListLabel171">
    <w:name w:val="ListLabel 171"/>
    <w:qFormat/>
    <w:rPr>
      <w:rFonts w:cs="Courier New"/>
    </w:rPr>
  </w:style>
  <w:style w:type="character" w:styleId="ListLabel172">
    <w:name w:val="ListLabel 172"/>
    <w:qFormat/>
    <w:rPr>
      <w:rFonts w:cs="Wingdings"/>
    </w:rPr>
  </w:style>
  <w:style w:type="character" w:styleId="ListLabel173">
    <w:name w:val="ListLabel 173"/>
    <w:qFormat/>
    <w:rPr>
      <w:rFonts w:cs="Times New Roman"/>
      <w:b/>
      <w:bCs/>
      <w:i w:val="false"/>
      <w:iCs w:val="false"/>
      <w:sz w:val="24"/>
      <w:szCs w:val="24"/>
    </w:rPr>
  </w:style>
  <w:style w:type="character" w:styleId="ListLabel174">
    <w:name w:val="ListLabel 174"/>
    <w:qFormat/>
    <w:rPr>
      <w:rFonts w:cs="Times New Roman"/>
      <w:b/>
      <w:bCs/>
      <w:i w:val="false"/>
      <w:iCs w:val="false"/>
      <w:sz w:val="22"/>
      <w:szCs w:val="22"/>
    </w:rPr>
  </w:style>
  <w:style w:type="character" w:styleId="ListLabel175">
    <w:name w:val="ListLabel 175"/>
    <w:qFormat/>
    <w:rPr>
      <w:rFonts w:cs="Times New Roman"/>
    </w:rPr>
  </w:style>
  <w:style w:type="character" w:styleId="ListLabel176">
    <w:name w:val="ListLabel 176"/>
    <w:qFormat/>
    <w:rPr>
      <w:rFonts w:cs="Times New Roman"/>
    </w:rPr>
  </w:style>
  <w:style w:type="character" w:styleId="ListLabel177">
    <w:name w:val="ListLabel 177"/>
    <w:qFormat/>
    <w:rPr>
      <w:rFonts w:cs="Times New Roman"/>
    </w:rPr>
  </w:style>
  <w:style w:type="character" w:styleId="ListLabel178">
    <w:name w:val="ListLabel 178"/>
    <w:qFormat/>
    <w:rPr>
      <w:rFonts w:cs="Times New Roman"/>
    </w:rPr>
  </w:style>
  <w:style w:type="character" w:styleId="ListLabel179">
    <w:name w:val="ListLabel 179"/>
    <w:qFormat/>
    <w:rPr>
      <w:rFonts w:cs="Times New Roman"/>
    </w:rPr>
  </w:style>
  <w:style w:type="character" w:styleId="ListLabel180">
    <w:name w:val="ListLabel 180"/>
    <w:qFormat/>
    <w:rPr>
      <w:rFonts w:cs="Times New Roman"/>
    </w:rPr>
  </w:style>
  <w:style w:type="character" w:styleId="ListLabel181">
    <w:name w:val="ListLabel 181"/>
    <w:qFormat/>
    <w:rPr>
      <w:rFonts w:cs="Times New Roman"/>
    </w:rPr>
  </w:style>
  <w:style w:type="character" w:styleId="ListLabel182">
    <w:name w:val="ListLabel 182"/>
    <w:qFormat/>
    <w:rPr>
      <w:rFonts w:ascii="Times New Roman" w:hAnsi="Times New Roman" w:cs="Arial"/>
      <w:b/>
      <w:color w:val="0D0D0D"/>
      <w:sz w:val="24"/>
    </w:rPr>
  </w:style>
  <w:style w:type="character" w:styleId="ListLabel183">
    <w:name w:val="ListLabel 183"/>
    <w:qFormat/>
    <w:rPr>
      <w:rFonts w:cs="Times New Roman"/>
    </w:rPr>
  </w:style>
  <w:style w:type="character" w:styleId="ListLabel184">
    <w:name w:val="ListLabel 184"/>
    <w:qFormat/>
    <w:rPr>
      <w:rFonts w:cs="Times New Roman"/>
    </w:rPr>
  </w:style>
  <w:style w:type="character" w:styleId="ListLabel185">
    <w:name w:val="ListLabel 185"/>
    <w:qFormat/>
    <w:rPr>
      <w:rFonts w:cs="Times New Roman"/>
    </w:rPr>
  </w:style>
  <w:style w:type="character" w:styleId="ListLabel186">
    <w:name w:val="ListLabel 186"/>
    <w:qFormat/>
    <w:rPr>
      <w:rFonts w:cs="Times New Roman"/>
    </w:rPr>
  </w:style>
  <w:style w:type="character" w:styleId="ListLabel187">
    <w:name w:val="ListLabel 187"/>
    <w:qFormat/>
    <w:rPr>
      <w:rFonts w:cs="Times New Roman"/>
    </w:rPr>
  </w:style>
  <w:style w:type="character" w:styleId="ListLabel188">
    <w:name w:val="ListLabel 188"/>
    <w:qFormat/>
    <w:rPr>
      <w:rFonts w:cs="Times New Roman"/>
    </w:rPr>
  </w:style>
  <w:style w:type="character" w:styleId="ListLabel189">
    <w:name w:val="ListLabel 189"/>
    <w:qFormat/>
    <w:rPr>
      <w:rFonts w:cs="Times New Roman"/>
    </w:rPr>
  </w:style>
  <w:style w:type="character" w:styleId="ListLabel190">
    <w:name w:val="ListLabel 190"/>
    <w:qFormat/>
    <w:rPr>
      <w:rFonts w:cs="Times New Roman"/>
    </w:rPr>
  </w:style>
  <w:style w:type="character" w:styleId="ListLabel191">
    <w:name w:val="ListLabel 191"/>
    <w:qFormat/>
    <w:rPr>
      <w:rFonts w:ascii="Times New Roman" w:hAnsi="Times New Roman" w:cs="Symbol"/>
      <w:sz w:val="24"/>
    </w:rPr>
  </w:style>
  <w:style w:type="character" w:styleId="ListLabel192">
    <w:name w:val="ListLabel 192"/>
    <w:qFormat/>
    <w:rPr>
      <w:rFonts w:cs="Courier New"/>
    </w:rPr>
  </w:style>
  <w:style w:type="character" w:styleId="ListLabel193">
    <w:name w:val="ListLabel 193"/>
    <w:qFormat/>
    <w:rPr>
      <w:rFonts w:cs="Wingdings"/>
    </w:rPr>
  </w:style>
  <w:style w:type="character" w:styleId="ListLabel194">
    <w:name w:val="ListLabel 194"/>
    <w:qFormat/>
    <w:rPr>
      <w:rFonts w:cs="Symbol"/>
    </w:rPr>
  </w:style>
  <w:style w:type="character" w:styleId="ListLabel195">
    <w:name w:val="ListLabel 195"/>
    <w:qFormat/>
    <w:rPr>
      <w:rFonts w:cs="Courier New"/>
    </w:rPr>
  </w:style>
  <w:style w:type="character" w:styleId="ListLabel196">
    <w:name w:val="ListLabel 196"/>
    <w:qFormat/>
    <w:rPr>
      <w:rFonts w:cs="Wingdings"/>
    </w:rPr>
  </w:style>
  <w:style w:type="character" w:styleId="ListLabel197">
    <w:name w:val="ListLabel 197"/>
    <w:qFormat/>
    <w:rPr>
      <w:rFonts w:cs="Symbol"/>
    </w:rPr>
  </w:style>
  <w:style w:type="character" w:styleId="ListLabel198">
    <w:name w:val="ListLabel 198"/>
    <w:qFormat/>
    <w:rPr>
      <w:rFonts w:cs="Courier New"/>
    </w:rPr>
  </w:style>
  <w:style w:type="character" w:styleId="ListLabel199">
    <w:name w:val="ListLabel 199"/>
    <w:qFormat/>
    <w:rPr>
      <w:rFonts w:cs="Wingdings"/>
    </w:rPr>
  </w:style>
  <w:style w:type="character" w:styleId="ListLabel200">
    <w:name w:val="ListLabel 200"/>
    <w:qFormat/>
    <w:rPr>
      <w:rFonts w:ascii="Times New Roman" w:hAnsi="Times New Roman" w:cs="Symbol"/>
      <w:sz w:val="24"/>
    </w:rPr>
  </w:style>
  <w:style w:type="character" w:styleId="ListLabel201">
    <w:name w:val="ListLabel 201"/>
    <w:qFormat/>
    <w:rPr>
      <w:rFonts w:cs="Courier New"/>
    </w:rPr>
  </w:style>
  <w:style w:type="character" w:styleId="ListLabel202">
    <w:name w:val="ListLabel 202"/>
    <w:qFormat/>
    <w:rPr>
      <w:rFonts w:cs="Wingdings"/>
    </w:rPr>
  </w:style>
  <w:style w:type="character" w:styleId="ListLabel203">
    <w:name w:val="ListLabel 203"/>
    <w:qFormat/>
    <w:rPr>
      <w:rFonts w:cs="Symbol"/>
    </w:rPr>
  </w:style>
  <w:style w:type="character" w:styleId="ListLabel204">
    <w:name w:val="ListLabel 204"/>
    <w:qFormat/>
    <w:rPr>
      <w:rFonts w:cs="Courier New"/>
    </w:rPr>
  </w:style>
  <w:style w:type="character" w:styleId="ListLabel205">
    <w:name w:val="ListLabel 205"/>
    <w:qFormat/>
    <w:rPr>
      <w:rFonts w:cs="Wingdings"/>
    </w:rPr>
  </w:style>
  <w:style w:type="character" w:styleId="ListLabel206">
    <w:name w:val="ListLabel 206"/>
    <w:qFormat/>
    <w:rPr>
      <w:rFonts w:cs="Symbol"/>
    </w:rPr>
  </w:style>
  <w:style w:type="character" w:styleId="ListLabel207">
    <w:name w:val="ListLabel 207"/>
    <w:qFormat/>
    <w:rPr>
      <w:rFonts w:cs="Courier New"/>
    </w:rPr>
  </w:style>
  <w:style w:type="character" w:styleId="ListLabel208">
    <w:name w:val="ListLabel 208"/>
    <w:qFormat/>
    <w:rPr>
      <w:rFonts w:cs="Wingdings"/>
    </w:rPr>
  </w:style>
  <w:style w:type="character" w:styleId="ListLabel209">
    <w:name w:val="ListLabel 209"/>
    <w:qFormat/>
    <w:rPr>
      <w:rFonts w:ascii="Times New Roman" w:hAnsi="Times New Roman" w:cs="Symbol"/>
      <w:sz w:val="24"/>
    </w:rPr>
  </w:style>
  <w:style w:type="character" w:styleId="ListLabel210">
    <w:name w:val="ListLabel 210"/>
    <w:qFormat/>
    <w:rPr>
      <w:rFonts w:cs="Courier New"/>
    </w:rPr>
  </w:style>
  <w:style w:type="character" w:styleId="ListLabel211">
    <w:name w:val="ListLabel 211"/>
    <w:qFormat/>
    <w:rPr>
      <w:rFonts w:cs="Wingdings"/>
    </w:rPr>
  </w:style>
  <w:style w:type="character" w:styleId="ListLabel212">
    <w:name w:val="ListLabel 212"/>
    <w:qFormat/>
    <w:rPr>
      <w:rFonts w:cs="Symbol"/>
    </w:rPr>
  </w:style>
  <w:style w:type="character" w:styleId="ListLabel213">
    <w:name w:val="ListLabel 213"/>
    <w:qFormat/>
    <w:rPr>
      <w:rFonts w:cs="Courier New"/>
    </w:rPr>
  </w:style>
  <w:style w:type="character" w:styleId="ListLabel214">
    <w:name w:val="ListLabel 214"/>
    <w:qFormat/>
    <w:rPr>
      <w:rFonts w:cs="Wingdings"/>
    </w:rPr>
  </w:style>
  <w:style w:type="character" w:styleId="ListLabel215">
    <w:name w:val="ListLabel 215"/>
    <w:qFormat/>
    <w:rPr>
      <w:rFonts w:cs="Symbol"/>
    </w:rPr>
  </w:style>
  <w:style w:type="character" w:styleId="ListLabel216">
    <w:name w:val="ListLabel 216"/>
    <w:qFormat/>
    <w:rPr>
      <w:rFonts w:cs="Courier New"/>
    </w:rPr>
  </w:style>
  <w:style w:type="character" w:styleId="ListLabel217">
    <w:name w:val="ListLabel 217"/>
    <w:qFormat/>
    <w:rPr>
      <w:rFonts w:cs="Wingdings"/>
    </w:rPr>
  </w:style>
  <w:style w:type="character" w:styleId="ListLabel218">
    <w:name w:val="ListLabel 218"/>
    <w:qFormat/>
    <w:rPr>
      <w:rFonts w:ascii="Times New Roman" w:hAnsi="Times New Roman" w:cs="Symbol"/>
      <w:sz w:val="24"/>
    </w:rPr>
  </w:style>
  <w:style w:type="character" w:styleId="ListLabel219">
    <w:name w:val="ListLabel 219"/>
    <w:qFormat/>
    <w:rPr>
      <w:rFonts w:cs="Courier New"/>
    </w:rPr>
  </w:style>
  <w:style w:type="character" w:styleId="ListLabel220">
    <w:name w:val="ListLabel 220"/>
    <w:qFormat/>
    <w:rPr>
      <w:rFonts w:cs="Wingdings"/>
    </w:rPr>
  </w:style>
  <w:style w:type="character" w:styleId="ListLabel221">
    <w:name w:val="ListLabel 221"/>
    <w:qFormat/>
    <w:rPr>
      <w:rFonts w:cs="Symbol"/>
    </w:rPr>
  </w:style>
  <w:style w:type="character" w:styleId="ListLabel222">
    <w:name w:val="ListLabel 222"/>
    <w:qFormat/>
    <w:rPr>
      <w:rFonts w:cs="Courier New"/>
    </w:rPr>
  </w:style>
  <w:style w:type="character" w:styleId="ListLabel223">
    <w:name w:val="ListLabel 223"/>
    <w:qFormat/>
    <w:rPr>
      <w:rFonts w:cs="Wingdings"/>
    </w:rPr>
  </w:style>
  <w:style w:type="character" w:styleId="ListLabel224">
    <w:name w:val="ListLabel 224"/>
    <w:qFormat/>
    <w:rPr>
      <w:rFonts w:cs="Symbol"/>
    </w:rPr>
  </w:style>
  <w:style w:type="character" w:styleId="ListLabel225">
    <w:name w:val="ListLabel 225"/>
    <w:qFormat/>
    <w:rPr>
      <w:rFonts w:cs="Courier New"/>
    </w:rPr>
  </w:style>
  <w:style w:type="character" w:styleId="ListLabel226">
    <w:name w:val="ListLabel 226"/>
    <w:qFormat/>
    <w:rPr>
      <w:rFonts w:cs="Wingdings"/>
    </w:rPr>
  </w:style>
  <w:style w:type="character" w:styleId="ListLabel227">
    <w:name w:val="ListLabel 227"/>
    <w:qFormat/>
    <w:rPr>
      <w:rFonts w:ascii="Times New Roman" w:hAnsi="Times New Roman" w:cs="Symbol"/>
      <w:sz w:val="24"/>
    </w:rPr>
  </w:style>
  <w:style w:type="character" w:styleId="ListLabel228">
    <w:name w:val="ListLabel 228"/>
    <w:qFormat/>
    <w:rPr>
      <w:rFonts w:cs="Courier New"/>
    </w:rPr>
  </w:style>
  <w:style w:type="character" w:styleId="ListLabel229">
    <w:name w:val="ListLabel 229"/>
    <w:qFormat/>
    <w:rPr>
      <w:rFonts w:cs="Wingdings"/>
    </w:rPr>
  </w:style>
  <w:style w:type="character" w:styleId="ListLabel230">
    <w:name w:val="ListLabel 230"/>
    <w:qFormat/>
    <w:rPr>
      <w:rFonts w:cs="Symbol"/>
    </w:rPr>
  </w:style>
  <w:style w:type="character" w:styleId="ListLabel231">
    <w:name w:val="ListLabel 231"/>
    <w:qFormat/>
    <w:rPr>
      <w:rFonts w:cs="Courier New"/>
    </w:rPr>
  </w:style>
  <w:style w:type="character" w:styleId="ListLabel232">
    <w:name w:val="ListLabel 232"/>
    <w:qFormat/>
    <w:rPr>
      <w:rFonts w:cs="Wingdings"/>
    </w:rPr>
  </w:style>
  <w:style w:type="character" w:styleId="ListLabel233">
    <w:name w:val="ListLabel 233"/>
    <w:qFormat/>
    <w:rPr>
      <w:rFonts w:cs="Symbol"/>
    </w:rPr>
  </w:style>
  <w:style w:type="character" w:styleId="ListLabel234">
    <w:name w:val="ListLabel 234"/>
    <w:qFormat/>
    <w:rPr>
      <w:rFonts w:cs="Courier New"/>
    </w:rPr>
  </w:style>
  <w:style w:type="character" w:styleId="ListLabel235">
    <w:name w:val="ListLabel 235"/>
    <w:qFormat/>
    <w:rPr>
      <w:rFonts w:cs="Wingdings"/>
    </w:rPr>
  </w:style>
  <w:style w:type="character" w:styleId="ListLabel236">
    <w:name w:val="ListLabel 236"/>
    <w:qFormat/>
    <w:rPr>
      <w:rFonts w:cs="Symbol"/>
      <w:sz w:val="24"/>
    </w:rPr>
  </w:style>
  <w:style w:type="character" w:styleId="ListLabel237">
    <w:name w:val="ListLabel 237"/>
    <w:qFormat/>
    <w:rPr>
      <w:rFonts w:cs="Courier New"/>
    </w:rPr>
  </w:style>
  <w:style w:type="character" w:styleId="ListLabel238">
    <w:name w:val="ListLabel 238"/>
    <w:qFormat/>
    <w:rPr>
      <w:rFonts w:cs="Wingdings"/>
    </w:rPr>
  </w:style>
  <w:style w:type="character" w:styleId="ListLabel239">
    <w:name w:val="ListLabel 239"/>
    <w:qFormat/>
    <w:rPr>
      <w:rFonts w:cs="Symbol"/>
    </w:rPr>
  </w:style>
  <w:style w:type="character" w:styleId="ListLabel240">
    <w:name w:val="ListLabel 240"/>
    <w:qFormat/>
    <w:rPr>
      <w:rFonts w:cs="Courier New"/>
    </w:rPr>
  </w:style>
  <w:style w:type="character" w:styleId="ListLabel241">
    <w:name w:val="ListLabel 241"/>
    <w:qFormat/>
    <w:rPr>
      <w:rFonts w:cs="Wingdings"/>
    </w:rPr>
  </w:style>
  <w:style w:type="character" w:styleId="ListLabel242">
    <w:name w:val="ListLabel 242"/>
    <w:qFormat/>
    <w:rPr>
      <w:rFonts w:cs="Symbol"/>
    </w:rPr>
  </w:style>
  <w:style w:type="character" w:styleId="ListLabel243">
    <w:name w:val="ListLabel 243"/>
    <w:qFormat/>
    <w:rPr>
      <w:rFonts w:cs="Courier New"/>
    </w:rPr>
  </w:style>
  <w:style w:type="character" w:styleId="ListLabel244">
    <w:name w:val="ListLabel 244"/>
    <w:qFormat/>
    <w:rPr>
      <w:rFonts w:cs="Wingdings"/>
    </w:rPr>
  </w:style>
  <w:style w:type="character" w:styleId="ListLabel245">
    <w:name w:val="ListLabel 245"/>
    <w:qFormat/>
    <w:rPr>
      <w:rFonts w:ascii="Times New Roman" w:hAnsi="Times New Roman" w:cs="Times New Roman"/>
      <w:sz w:val="24"/>
    </w:rPr>
  </w:style>
  <w:style w:type="character" w:styleId="ListLabel246">
    <w:name w:val="ListLabel 246"/>
    <w:qFormat/>
    <w:rPr>
      <w:rFonts w:cs="Courier New"/>
    </w:rPr>
  </w:style>
  <w:style w:type="character" w:styleId="ListLabel247">
    <w:name w:val="ListLabel 247"/>
    <w:qFormat/>
    <w:rPr>
      <w:rFonts w:cs="Wingdings"/>
    </w:rPr>
  </w:style>
  <w:style w:type="character" w:styleId="ListLabel248">
    <w:name w:val="ListLabel 248"/>
    <w:qFormat/>
    <w:rPr>
      <w:rFonts w:cs="Symbol"/>
    </w:rPr>
  </w:style>
  <w:style w:type="character" w:styleId="ListLabel249">
    <w:name w:val="ListLabel 249"/>
    <w:qFormat/>
    <w:rPr>
      <w:rFonts w:cs="Courier New"/>
    </w:rPr>
  </w:style>
  <w:style w:type="character" w:styleId="ListLabel250">
    <w:name w:val="ListLabel 250"/>
    <w:qFormat/>
    <w:rPr>
      <w:rFonts w:cs="Wingdings"/>
    </w:rPr>
  </w:style>
  <w:style w:type="character" w:styleId="ListLabel251">
    <w:name w:val="ListLabel 251"/>
    <w:qFormat/>
    <w:rPr>
      <w:rFonts w:cs="Symbol"/>
    </w:rPr>
  </w:style>
  <w:style w:type="character" w:styleId="ListLabel252">
    <w:name w:val="ListLabel 252"/>
    <w:qFormat/>
    <w:rPr>
      <w:rFonts w:cs="Courier New"/>
    </w:rPr>
  </w:style>
  <w:style w:type="character" w:styleId="ListLabel253">
    <w:name w:val="ListLabel 253"/>
    <w:qFormat/>
    <w:rPr>
      <w:rFonts w:cs="Wingdings"/>
    </w:rPr>
  </w:style>
  <w:style w:type="character" w:styleId="ListLabel254">
    <w:name w:val="ListLabel 254"/>
    <w:qFormat/>
    <w:rPr>
      <w:rFonts w:ascii="Times New Roman" w:hAnsi="Times New Roman" w:cs="Wingdings"/>
      <w:sz w:val="24"/>
      <w:szCs w:val="28"/>
    </w:rPr>
  </w:style>
  <w:style w:type="character" w:styleId="ListLabel255">
    <w:name w:val="ListLabel 255"/>
    <w:qFormat/>
    <w:rPr>
      <w:rFonts w:cs="Wingdings"/>
      <w:sz w:val="28"/>
      <w:szCs w:val="28"/>
    </w:rPr>
  </w:style>
  <w:style w:type="character" w:styleId="ListLabel256">
    <w:name w:val="ListLabel 256"/>
    <w:qFormat/>
    <w:rPr>
      <w:rFonts w:cs="Wingdings"/>
      <w:sz w:val="28"/>
      <w:szCs w:val="28"/>
    </w:rPr>
  </w:style>
  <w:style w:type="character" w:styleId="ListLabel257">
    <w:name w:val="ListLabel 257"/>
    <w:qFormat/>
    <w:rPr>
      <w:rFonts w:cs="Wingdings"/>
      <w:sz w:val="28"/>
      <w:szCs w:val="28"/>
    </w:rPr>
  </w:style>
  <w:style w:type="character" w:styleId="ListLabel258">
    <w:name w:val="ListLabel 258"/>
    <w:qFormat/>
    <w:rPr>
      <w:rFonts w:cs="Wingdings"/>
      <w:sz w:val="28"/>
      <w:szCs w:val="28"/>
    </w:rPr>
  </w:style>
  <w:style w:type="character" w:styleId="ListLabel259">
    <w:name w:val="ListLabel 259"/>
    <w:qFormat/>
    <w:rPr>
      <w:rFonts w:cs="Wingdings"/>
      <w:sz w:val="28"/>
      <w:szCs w:val="28"/>
    </w:rPr>
  </w:style>
  <w:style w:type="character" w:styleId="ListLabel260">
    <w:name w:val="ListLabel 260"/>
    <w:qFormat/>
    <w:rPr>
      <w:rFonts w:cs="Wingdings"/>
      <w:sz w:val="28"/>
      <w:szCs w:val="28"/>
    </w:rPr>
  </w:style>
  <w:style w:type="character" w:styleId="ListLabel261">
    <w:name w:val="ListLabel 261"/>
    <w:qFormat/>
    <w:rPr>
      <w:rFonts w:cs="Wingdings"/>
      <w:sz w:val="28"/>
      <w:szCs w:val="28"/>
    </w:rPr>
  </w:style>
  <w:style w:type="character" w:styleId="ListLabel262">
    <w:name w:val="ListLabel 262"/>
    <w:qFormat/>
    <w:rPr>
      <w:rFonts w:cs="Wingdings"/>
      <w:sz w:val="28"/>
      <w:szCs w:val="28"/>
    </w:rPr>
  </w:style>
  <w:style w:type="character" w:styleId="ListLabel263">
    <w:name w:val="ListLabel 263"/>
    <w:qFormat/>
    <w:rPr>
      <w:rFonts w:ascii="Times New Roman" w:hAnsi="Times New Roman" w:cs="Symbol"/>
      <w:sz w:val="24"/>
    </w:rPr>
  </w:style>
  <w:style w:type="character" w:styleId="ListLabel264">
    <w:name w:val="ListLabel 264"/>
    <w:qFormat/>
    <w:rPr>
      <w:rFonts w:cs="Courier New"/>
    </w:rPr>
  </w:style>
  <w:style w:type="character" w:styleId="ListLabel265">
    <w:name w:val="ListLabel 265"/>
    <w:qFormat/>
    <w:rPr>
      <w:rFonts w:cs="Wingdings"/>
    </w:rPr>
  </w:style>
  <w:style w:type="character" w:styleId="ListLabel266">
    <w:name w:val="ListLabel 266"/>
    <w:qFormat/>
    <w:rPr>
      <w:rFonts w:cs="Symbol"/>
    </w:rPr>
  </w:style>
  <w:style w:type="character" w:styleId="ListLabel267">
    <w:name w:val="ListLabel 267"/>
    <w:qFormat/>
    <w:rPr>
      <w:rFonts w:cs="Courier New"/>
    </w:rPr>
  </w:style>
  <w:style w:type="character" w:styleId="ListLabel268">
    <w:name w:val="ListLabel 268"/>
    <w:qFormat/>
    <w:rPr>
      <w:rFonts w:cs="Wingdings"/>
    </w:rPr>
  </w:style>
  <w:style w:type="character" w:styleId="ListLabel269">
    <w:name w:val="ListLabel 269"/>
    <w:qFormat/>
    <w:rPr>
      <w:rFonts w:cs="Symbol"/>
    </w:rPr>
  </w:style>
  <w:style w:type="character" w:styleId="ListLabel270">
    <w:name w:val="ListLabel 270"/>
    <w:qFormat/>
    <w:rPr>
      <w:rFonts w:cs="Courier New"/>
    </w:rPr>
  </w:style>
  <w:style w:type="character" w:styleId="ListLabel271">
    <w:name w:val="ListLabel 271"/>
    <w:qFormat/>
    <w:rPr>
      <w:rFonts w:cs="Wingdings"/>
    </w:rPr>
  </w:style>
  <w:style w:type="character" w:styleId="ListLabel272">
    <w:name w:val="ListLabel 272"/>
    <w:qFormat/>
    <w:rPr>
      <w:rFonts w:ascii="Times New Roman" w:hAnsi="Times New Roman" w:cs="Wingdings"/>
      <w:sz w:val="24"/>
    </w:rPr>
  </w:style>
  <w:style w:type="character" w:styleId="ListLabel273">
    <w:name w:val="ListLabel 273"/>
    <w:qFormat/>
    <w:rPr>
      <w:rFonts w:cs="Courier New"/>
    </w:rPr>
  </w:style>
  <w:style w:type="character" w:styleId="ListLabel274">
    <w:name w:val="ListLabel 274"/>
    <w:qFormat/>
    <w:rPr>
      <w:rFonts w:cs="Wingdings"/>
    </w:rPr>
  </w:style>
  <w:style w:type="character" w:styleId="ListLabel275">
    <w:name w:val="ListLabel 275"/>
    <w:qFormat/>
    <w:rPr>
      <w:rFonts w:cs="Symbol"/>
    </w:rPr>
  </w:style>
  <w:style w:type="character" w:styleId="ListLabel276">
    <w:name w:val="ListLabel 276"/>
    <w:qFormat/>
    <w:rPr>
      <w:rFonts w:cs="Courier New"/>
    </w:rPr>
  </w:style>
  <w:style w:type="character" w:styleId="ListLabel277">
    <w:name w:val="ListLabel 277"/>
    <w:qFormat/>
    <w:rPr>
      <w:rFonts w:cs="Wingdings"/>
    </w:rPr>
  </w:style>
  <w:style w:type="character" w:styleId="ListLabel278">
    <w:name w:val="ListLabel 278"/>
    <w:qFormat/>
    <w:rPr>
      <w:rFonts w:cs="Symbol"/>
    </w:rPr>
  </w:style>
  <w:style w:type="character" w:styleId="ListLabel279">
    <w:name w:val="ListLabel 279"/>
    <w:qFormat/>
    <w:rPr>
      <w:rFonts w:cs="Courier New"/>
    </w:rPr>
  </w:style>
  <w:style w:type="character" w:styleId="ListLabel280">
    <w:name w:val="ListLabel 280"/>
    <w:qFormat/>
    <w:rPr>
      <w:rFonts w:cs="Wingdings"/>
    </w:rPr>
  </w:style>
  <w:style w:type="character" w:styleId="ListLabel281">
    <w:name w:val="ListLabel 281"/>
    <w:qFormat/>
    <w:rPr>
      <w:rFonts w:ascii="Times New Roman" w:hAnsi="Times New Roman" w:cs="Symbol"/>
      <w:sz w:val="24"/>
    </w:rPr>
  </w:style>
  <w:style w:type="character" w:styleId="ListLabel282">
    <w:name w:val="ListLabel 282"/>
    <w:qFormat/>
    <w:rPr>
      <w:rFonts w:ascii="Times New Roman" w:hAnsi="Times New Roman" w:cs="Symbol"/>
      <w:sz w:val="24"/>
    </w:rPr>
  </w:style>
  <w:style w:type="character" w:styleId="ListLabel283">
    <w:name w:val="ListLabel 283"/>
    <w:qFormat/>
    <w:rPr>
      <w:rFonts w:cs="Courier New"/>
    </w:rPr>
  </w:style>
  <w:style w:type="character" w:styleId="ListLabel284">
    <w:name w:val="ListLabel 284"/>
    <w:qFormat/>
    <w:rPr>
      <w:rFonts w:cs="Wingdings"/>
    </w:rPr>
  </w:style>
  <w:style w:type="character" w:styleId="ListLabel285">
    <w:name w:val="ListLabel 285"/>
    <w:qFormat/>
    <w:rPr>
      <w:rFonts w:cs="Symbol"/>
    </w:rPr>
  </w:style>
  <w:style w:type="character" w:styleId="ListLabel286">
    <w:name w:val="ListLabel 286"/>
    <w:qFormat/>
    <w:rPr>
      <w:rFonts w:cs="Courier New"/>
    </w:rPr>
  </w:style>
  <w:style w:type="character" w:styleId="ListLabel287">
    <w:name w:val="ListLabel 287"/>
    <w:qFormat/>
    <w:rPr>
      <w:rFonts w:cs="Wingdings"/>
    </w:rPr>
  </w:style>
  <w:style w:type="character" w:styleId="ListLabel288">
    <w:name w:val="ListLabel 288"/>
    <w:qFormat/>
    <w:rPr>
      <w:rFonts w:cs="Symbol"/>
    </w:rPr>
  </w:style>
  <w:style w:type="character" w:styleId="ListLabel289">
    <w:name w:val="ListLabel 289"/>
    <w:qFormat/>
    <w:rPr>
      <w:rFonts w:cs="Courier New"/>
    </w:rPr>
  </w:style>
  <w:style w:type="character" w:styleId="ListLabel290">
    <w:name w:val="ListLabel 290"/>
    <w:qFormat/>
    <w:rPr>
      <w:rFonts w:cs="Wingdings"/>
    </w:rPr>
  </w:style>
  <w:style w:type="character" w:styleId="ListLabel291">
    <w:name w:val="ListLabel 291"/>
    <w:qFormat/>
    <w:rPr>
      <w:rFonts w:cs="Times New Roman"/>
      <w:b/>
      <w:bCs/>
      <w:i w:val="false"/>
      <w:iCs w:val="false"/>
      <w:sz w:val="24"/>
      <w:szCs w:val="24"/>
    </w:rPr>
  </w:style>
  <w:style w:type="character" w:styleId="ListLabel292">
    <w:name w:val="ListLabel 292"/>
    <w:qFormat/>
    <w:rPr>
      <w:rFonts w:cs="Times New Roman"/>
      <w:b/>
      <w:bCs/>
      <w:i w:val="false"/>
      <w:iCs w:val="false"/>
      <w:sz w:val="22"/>
      <w:szCs w:val="22"/>
    </w:rPr>
  </w:style>
  <w:style w:type="character" w:styleId="ListLabel293">
    <w:name w:val="ListLabel 293"/>
    <w:qFormat/>
    <w:rPr>
      <w:rFonts w:cs="Times New Roman"/>
    </w:rPr>
  </w:style>
  <w:style w:type="character" w:styleId="ListLabel294">
    <w:name w:val="ListLabel 294"/>
    <w:qFormat/>
    <w:rPr>
      <w:rFonts w:cs="Times New Roman"/>
    </w:rPr>
  </w:style>
  <w:style w:type="character" w:styleId="ListLabel295">
    <w:name w:val="ListLabel 295"/>
    <w:qFormat/>
    <w:rPr>
      <w:rFonts w:cs="Times New Roman"/>
    </w:rPr>
  </w:style>
  <w:style w:type="character" w:styleId="ListLabel296">
    <w:name w:val="ListLabel 296"/>
    <w:qFormat/>
    <w:rPr>
      <w:rFonts w:cs="Times New Roman"/>
    </w:rPr>
  </w:style>
  <w:style w:type="character" w:styleId="ListLabel297">
    <w:name w:val="ListLabel 297"/>
    <w:qFormat/>
    <w:rPr>
      <w:rFonts w:cs="Times New Roman"/>
    </w:rPr>
  </w:style>
  <w:style w:type="character" w:styleId="ListLabel298">
    <w:name w:val="ListLabel 298"/>
    <w:qFormat/>
    <w:rPr>
      <w:rFonts w:cs="Times New Roman"/>
    </w:rPr>
  </w:style>
  <w:style w:type="character" w:styleId="ListLabel299">
    <w:name w:val="ListLabel 299"/>
    <w:qFormat/>
    <w:rPr>
      <w:rFonts w:cs="Times New Roman"/>
    </w:rPr>
  </w:style>
  <w:style w:type="character" w:styleId="ListLabel300">
    <w:name w:val="ListLabel 300"/>
    <w:qFormat/>
    <w:rPr>
      <w:rFonts w:ascii="Times New Roman" w:hAnsi="Times New Roman" w:cs="Arial"/>
      <w:b/>
      <w:color w:val="0D0D0D"/>
      <w:sz w:val="24"/>
    </w:rPr>
  </w:style>
  <w:style w:type="character" w:styleId="ListLabel301">
    <w:name w:val="ListLabel 301"/>
    <w:qFormat/>
    <w:rPr>
      <w:rFonts w:cs="Times New Roman"/>
    </w:rPr>
  </w:style>
  <w:style w:type="character" w:styleId="ListLabel302">
    <w:name w:val="ListLabel 302"/>
    <w:qFormat/>
    <w:rPr>
      <w:rFonts w:cs="Times New Roman"/>
    </w:rPr>
  </w:style>
  <w:style w:type="character" w:styleId="ListLabel303">
    <w:name w:val="ListLabel 303"/>
    <w:qFormat/>
    <w:rPr>
      <w:rFonts w:cs="Times New Roman"/>
    </w:rPr>
  </w:style>
  <w:style w:type="character" w:styleId="ListLabel304">
    <w:name w:val="ListLabel 304"/>
    <w:qFormat/>
    <w:rPr>
      <w:rFonts w:cs="Times New Roman"/>
    </w:rPr>
  </w:style>
  <w:style w:type="character" w:styleId="ListLabel305">
    <w:name w:val="ListLabel 305"/>
    <w:qFormat/>
    <w:rPr>
      <w:rFonts w:cs="Times New Roman"/>
    </w:rPr>
  </w:style>
  <w:style w:type="character" w:styleId="ListLabel306">
    <w:name w:val="ListLabel 306"/>
    <w:qFormat/>
    <w:rPr>
      <w:rFonts w:cs="Times New Roman"/>
    </w:rPr>
  </w:style>
  <w:style w:type="character" w:styleId="ListLabel307">
    <w:name w:val="ListLabel 307"/>
    <w:qFormat/>
    <w:rPr>
      <w:rFonts w:cs="Times New Roman"/>
    </w:rPr>
  </w:style>
  <w:style w:type="character" w:styleId="ListLabel308">
    <w:name w:val="ListLabel 308"/>
    <w:qFormat/>
    <w:rPr>
      <w:rFonts w:cs="Times New Roman"/>
    </w:rPr>
  </w:style>
  <w:style w:type="character" w:styleId="ListLabel309">
    <w:name w:val="ListLabel 309"/>
    <w:qFormat/>
    <w:rPr>
      <w:rFonts w:ascii="Times New Roman" w:hAnsi="Times New Roman" w:cs="Symbol"/>
      <w:sz w:val="24"/>
    </w:rPr>
  </w:style>
  <w:style w:type="character" w:styleId="ListLabel310">
    <w:name w:val="ListLabel 310"/>
    <w:qFormat/>
    <w:rPr>
      <w:rFonts w:cs="Courier New"/>
    </w:rPr>
  </w:style>
  <w:style w:type="character" w:styleId="ListLabel311">
    <w:name w:val="ListLabel 311"/>
    <w:qFormat/>
    <w:rPr>
      <w:rFonts w:cs="Wingdings"/>
    </w:rPr>
  </w:style>
  <w:style w:type="character" w:styleId="ListLabel312">
    <w:name w:val="ListLabel 312"/>
    <w:qFormat/>
    <w:rPr>
      <w:rFonts w:cs="Symbol"/>
    </w:rPr>
  </w:style>
  <w:style w:type="character" w:styleId="ListLabel313">
    <w:name w:val="ListLabel 313"/>
    <w:qFormat/>
    <w:rPr>
      <w:rFonts w:cs="Courier New"/>
    </w:rPr>
  </w:style>
  <w:style w:type="character" w:styleId="ListLabel314">
    <w:name w:val="ListLabel 314"/>
    <w:qFormat/>
    <w:rPr>
      <w:rFonts w:cs="Wingdings"/>
    </w:rPr>
  </w:style>
  <w:style w:type="character" w:styleId="ListLabel315">
    <w:name w:val="ListLabel 315"/>
    <w:qFormat/>
    <w:rPr>
      <w:rFonts w:cs="Symbol"/>
    </w:rPr>
  </w:style>
  <w:style w:type="character" w:styleId="ListLabel316">
    <w:name w:val="ListLabel 316"/>
    <w:qFormat/>
    <w:rPr>
      <w:rFonts w:cs="Courier New"/>
    </w:rPr>
  </w:style>
  <w:style w:type="character" w:styleId="ListLabel317">
    <w:name w:val="ListLabel 317"/>
    <w:qFormat/>
    <w:rPr>
      <w:rFonts w:cs="Wingdings"/>
    </w:rPr>
  </w:style>
  <w:style w:type="character" w:styleId="ListLabel318">
    <w:name w:val="ListLabel 318"/>
    <w:qFormat/>
    <w:rPr>
      <w:rFonts w:ascii="Times New Roman" w:hAnsi="Times New Roman" w:cs="Symbol"/>
      <w:sz w:val="24"/>
    </w:rPr>
  </w:style>
  <w:style w:type="character" w:styleId="ListLabel319">
    <w:name w:val="ListLabel 319"/>
    <w:qFormat/>
    <w:rPr>
      <w:rFonts w:cs="Courier New"/>
    </w:rPr>
  </w:style>
  <w:style w:type="character" w:styleId="ListLabel320">
    <w:name w:val="ListLabel 320"/>
    <w:qFormat/>
    <w:rPr>
      <w:rFonts w:cs="Wingdings"/>
    </w:rPr>
  </w:style>
  <w:style w:type="character" w:styleId="ListLabel321">
    <w:name w:val="ListLabel 321"/>
    <w:qFormat/>
    <w:rPr>
      <w:rFonts w:cs="Symbol"/>
    </w:rPr>
  </w:style>
  <w:style w:type="character" w:styleId="ListLabel322">
    <w:name w:val="ListLabel 322"/>
    <w:qFormat/>
    <w:rPr>
      <w:rFonts w:cs="Courier New"/>
    </w:rPr>
  </w:style>
  <w:style w:type="character" w:styleId="ListLabel323">
    <w:name w:val="ListLabel 323"/>
    <w:qFormat/>
    <w:rPr>
      <w:rFonts w:cs="Wingdings"/>
    </w:rPr>
  </w:style>
  <w:style w:type="character" w:styleId="ListLabel324">
    <w:name w:val="ListLabel 324"/>
    <w:qFormat/>
    <w:rPr>
      <w:rFonts w:cs="Symbol"/>
    </w:rPr>
  </w:style>
  <w:style w:type="character" w:styleId="ListLabel325">
    <w:name w:val="ListLabel 325"/>
    <w:qFormat/>
    <w:rPr>
      <w:rFonts w:cs="Courier New"/>
    </w:rPr>
  </w:style>
  <w:style w:type="character" w:styleId="ListLabel326">
    <w:name w:val="ListLabel 326"/>
    <w:qFormat/>
    <w:rPr>
      <w:rFonts w:cs="Wingdings"/>
    </w:rPr>
  </w:style>
  <w:style w:type="character" w:styleId="ListLabel327">
    <w:name w:val="ListLabel 327"/>
    <w:qFormat/>
    <w:rPr>
      <w:rFonts w:ascii="Times New Roman" w:hAnsi="Times New Roman" w:cs="Symbol"/>
      <w:sz w:val="24"/>
    </w:rPr>
  </w:style>
  <w:style w:type="character" w:styleId="ListLabel328">
    <w:name w:val="ListLabel 328"/>
    <w:qFormat/>
    <w:rPr>
      <w:rFonts w:cs="Courier New"/>
    </w:rPr>
  </w:style>
  <w:style w:type="character" w:styleId="ListLabel329">
    <w:name w:val="ListLabel 329"/>
    <w:qFormat/>
    <w:rPr>
      <w:rFonts w:cs="Wingdings"/>
    </w:rPr>
  </w:style>
  <w:style w:type="character" w:styleId="ListLabel330">
    <w:name w:val="ListLabel 330"/>
    <w:qFormat/>
    <w:rPr>
      <w:rFonts w:cs="Symbol"/>
    </w:rPr>
  </w:style>
  <w:style w:type="character" w:styleId="ListLabel331">
    <w:name w:val="ListLabel 331"/>
    <w:qFormat/>
    <w:rPr>
      <w:rFonts w:cs="Courier New"/>
    </w:rPr>
  </w:style>
  <w:style w:type="character" w:styleId="ListLabel332">
    <w:name w:val="ListLabel 332"/>
    <w:qFormat/>
    <w:rPr>
      <w:rFonts w:cs="Wingdings"/>
    </w:rPr>
  </w:style>
  <w:style w:type="character" w:styleId="ListLabel333">
    <w:name w:val="ListLabel 333"/>
    <w:qFormat/>
    <w:rPr>
      <w:rFonts w:cs="Symbol"/>
    </w:rPr>
  </w:style>
  <w:style w:type="character" w:styleId="ListLabel334">
    <w:name w:val="ListLabel 334"/>
    <w:qFormat/>
    <w:rPr>
      <w:rFonts w:cs="Courier New"/>
    </w:rPr>
  </w:style>
  <w:style w:type="character" w:styleId="ListLabel335">
    <w:name w:val="ListLabel 335"/>
    <w:qFormat/>
    <w:rPr>
      <w:rFonts w:cs="Wingdings"/>
    </w:rPr>
  </w:style>
  <w:style w:type="character" w:styleId="ListLabel336">
    <w:name w:val="ListLabel 336"/>
    <w:qFormat/>
    <w:rPr>
      <w:rFonts w:ascii="Times New Roman" w:hAnsi="Times New Roman" w:cs="Symbol"/>
      <w:sz w:val="24"/>
    </w:rPr>
  </w:style>
  <w:style w:type="character" w:styleId="ListLabel337">
    <w:name w:val="ListLabel 337"/>
    <w:qFormat/>
    <w:rPr>
      <w:rFonts w:cs="Courier New"/>
    </w:rPr>
  </w:style>
  <w:style w:type="character" w:styleId="ListLabel338">
    <w:name w:val="ListLabel 338"/>
    <w:qFormat/>
    <w:rPr>
      <w:rFonts w:cs="Wingdings"/>
    </w:rPr>
  </w:style>
  <w:style w:type="character" w:styleId="ListLabel339">
    <w:name w:val="ListLabel 339"/>
    <w:qFormat/>
    <w:rPr>
      <w:rFonts w:cs="Symbol"/>
    </w:rPr>
  </w:style>
  <w:style w:type="character" w:styleId="ListLabel340">
    <w:name w:val="ListLabel 340"/>
    <w:qFormat/>
    <w:rPr>
      <w:rFonts w:cs="Courier New"/>
    </w:rPr>
  </w:style>
  <w:style w:type="character" w:styleId="ListLabel341">
    <w:name w:val="ListLabel 341"/>
    <w:qFormat/>
    <w:rPr>
      <w:rFonts w:cs="Wingdings"/>
    </w:rPr>
  </w:style>
  <w:style w:type="character" w:styleId="ListLabel342">
    <w:name w:val="ListLabel 342"/>
    <w:qFormat/>
    <w:rPr>
      <w:rFonts w:cs="Symbol"/>
    </w:rPr>
  </w:style>
  <w:style w:type="character" w:styleId="ListLabel343">
    <w:name w:val="ListLabel 343"/>
    <w:qFormat/>
    <w:rPr>
      <w:rFonts w:cs="Courier New"/>
    </w:rPr>
  </w:style>
  <w:style w:type="character" w:styleId="ListLabel344">
    <w:name w:val="ListLabel 344"/>
    <w:qFormat/>
    <w:rPr>
      <w:rFonts w:cs="Wingdings"/>
    </w:rPr>
  </w:style>
  <w:style w:type="character" w:styleId="ListLabel345">
    <w:name w:val="ListLabel 345"/>
    <w:qFormat/>
    <w:rPr>
      <w:rFonts w:ascii="Times New Roman" w:hAnsi="Times New Roman" w:cs="Symbol"/>
      <w:sz w:val="24"/>
    </w:rPr>
  </w:style>
  <w:style w:type="character" w:styleId="ListLabel346">
    <w:name w:val="ListLabel 346"/>
    <w:qFormat/>
    <w:rPr>
      <w:rFonts w:cs="Courier New"/>
    </w:rPr>
  </w:style>
  <w:style w:type="character" w:styleId="ListLabel347">
    <w:name w:val="ListLabel 347"/>
    <w:qFormat/>
    <w:rPr>
      <w:rFonts w:cs="Wingdings"/>
    </w:rPr>
  </w:style>
  <w:style w:type="character" w:styleId="ListLabel348">
    <w:name w:val="ListLabel 348"/>
    <w:qFormat/>
    <w:rPr>
      <w:rFonts w:cs="Symbol"/>
    </w:rPr>
  </w:style>
  <w:style w:type="character" w:styleId="ListLabel349">
    <w:name w:val="ListLabel 349"/>
    <w:qFormat/>
    <w:rPr>
      <w:rFonts w:cs="Courier New"/>
    </w:rPr>
  </w:style>
  <w:style w:type="character" w:styleId="ListLabel350">
    <w:name w:val="ListLabel 350"/>
    <w:qFormat/>
    <w:rPr>
      <w:rFonts w:cs="Wingdings"/>
    </w:rPr>
  </w:style>
  <w:style w:type="character" w:styleId="ListLabel351">
    <w:name w:val="ListLabel 351"/>
    <w:qFormat/>
    <w:rPr>
      <w:rFonts w:cs="Symbol"/>
    </w:rPr>
  </w:style>
  <w:style w:type="character" w:styleId="ListLabel352">
    <w:name w:val="ListLabel 352"/>
    <w:qFormat/>
    <w:rPr>
      <w:rFonts w:cs="Courier New"/>
    </w:rPr>
  </w:style>
  <w:style w:type="character" w:styleId="ListLabel353">
    <w:name w:val="ListLabel 353"/>
    <w:qFormat/>
    <w:rPr>
      <w:rFonts w:cs="Wingdings"/>
    </w:rPr>
  </w:style>
  <w:style w:type="character" w:styleId="ListLabel354">
    <w:name w:val="ListLabel 354"/>
    <w:qFormat/>
    <w:rPr>
      <w:rFonts w:cs="Symbol"/>
      <w:sz w:val="24"/>
    </w:rPr>
  </w:style>
  <w:style w:type="character" w:styleId="ListLabel355">
    <w:name w:val="ListLabel 355"/>
    <w:qFormat/>
    <w:rPr>
      <w:rFonts w:cs="Courier New"/>
    </w:rPr>
  </w:style>
  <w:style w:type="character" w:styleId="ListLabel356">
    <w:name w:val="ListLabel 356"/>
    <w:qFormat/>
    <w:rPr>
      <w:rFonts w:cs="Wingdings"/>
    </w:rPr>
  </w:style>
  <w:style w:type="character" w:styleId="ListLabel357">
    <w:name w:val="ListLabel 357"/>
    <w:qFormat/>
    <w:rPr>
      <w:rFonts w:cs="Symbol"/>
    </w:rPr>
  </w:style>
  <w:style w:type="character" w:styleId="ListLabel358">
    <w:name w:val="ListLabel 358"/>
    <w:qFormat/>
    <w:rPr>
      <w:rFonts w:cs="Courier New"/>
    </w:rPr>
  </w:style>
  <w:style w:type="character" w:styleId="ListLabel359">
    <w:name w:val="ListLabel 359"/>
    <w:qFormat/>
    <w:rPr>
      <w:rFonts w:cs="Wingdings"/>
    </w:rPr>
  </w:style>
  <w:style w:type="character" w:styleId="ListLabel360">
    <w:name w:val="ListLabel 360"/>
    <w:qFormat/>
    <w:rPr>
      <w:rFonts w:cs="Symbol"/>
    </w:rPr>
  </w:style>
  <w:style w:type="character" w:styleId="ListLabel361">
    <w:name w:val="ListLabel 361"/>
    <w:qFormat/>
    <w:rPr>
      <w:rFonts w:cs="Courier New"/>
    </w:rPr>
  </w:style>
  <w:style w:type="character" w:styleId="ListLabel362">
    <w:name w:val="ListLabel 362"/>
    <w:qFormat/>
    <w:rPr>
      <w:rFonts w:cs="Wingdings"/>
    </w:rPr>
  </w:style>
  <w:style w:type="character" w:styleId="ListLabel363">
    <w:name w:val="ListLabel 363"/>
    <w:qFormat/>
    <w:rPr>
      <w:rFonts w:ascii="Times New Roman" w:hAnsi="Times New Roman" w:cs="Times New Roman"/>
      <w:sz w:val="24"/>
    </w:rPr>
  </w:style>
  <w:style w:type="character" w:styleId="ListLabel364">
    <w:name w:val="ListLabel 364"/>
    <w:qFormat/>
    <w:rPr>
      <w:rFonts w:cs="Courier New"/>
    </w:rPr>
  </w:style>
  <w:style w:type="character" w:styleId="ListLabel365">
    <w:name w:val="ListLabel 365"/>
    <w:qFormat/>
    <w:rPr>
      <w:rFonts w:cs="Wingdings"/>
    </w:rPr>
  </w:style>
  <w:style w:type="character" w:styleId="ListLabel366">
    <w:name w:val="ListLabel 366"/>
    <w:qFormat/>
    <w:rPr>
      <w:rFonts w:cs="Symbol"/>
    </w:rPr>
  </w:style>
  <w:style w:type="character" w:styleId="ListLabel367">
    <w:name w:val="ListLabel 367"/>
    <w:qFormat/>
    <w:rPr>
      <w:rFonts w:cs="Courier New"/>
    </w:rPr>
  </w:style>
  <w:style w:type="character" w:styleId="ListLabel368">
    <w:name w:val="ListLabel 368"/>
    <w:qFormat/>
    <w:rPr>
      <w:rFonts w:cs="Wingdings"/>
    </w:rPr>
  </w:style>
  <w:style w:type="character" w:styleId="ListLabel369">
    <w:name w:val="ListLabel 369"/>
    <w:qFormat/>
    <w:rPr>
      <w:rFonts w:cs="Symbol"/>
    </w:rPr>
  </w:style>
  <w:style w:type="character" w:styleId="ListLabel370">
    <w:name w:val="ListLabel 370"/>
    <w:qFormat/>
    <w:rPr>
      <w:rFonts w:cs="Courier New"/>
    </w:rPr>
  </w:style>
  <w:style w:type="character" w:styleId="ListLabel371">
    <w:name w:val="ListLabel 371"/>
    <w:qFormat/>
    <w:rPr>
      <w:rFonts w:cs="Wingdings"/>
    </w:rPr>
  </w:style>
  <w:style w:type="character" w:styleId="ListLabel372">
    <w:name w:val="ListLabel 372"/>
    <w:qFormat/>
    <w:rPr>
      <w:rFonts w:ascii="Times New Roman" w:hAnsi="Times New Roman" w:cs="Wingdings"/>
      <w:sz w:val="24"/>
      <w:szCs w:val="28"/>
    </w:rPr>
  </w:style>
  <w:style w:type="character" w:styleId="ListLabel373">
    <w:name w:val="ListLabel 373"/>
    <w:qFormat/>
    <w:rPr>
      <w:rFonts w:cs="Wingdings"/>
      <w:sz w:val="28"/>
      <w:szCs w:val="28"/>
    </w:rPr>
  </w:style>
  <w:style w:type="character" w:styleId="ListLabel374">
    <w:name w:val="ListLabel 374"/>
    <w:qFormat/>
    <w:rPr>
      <w:rFonts w:cs="Wingdings"/>
      <w:sz w:val="28"/>
      <w:szCs w:val="28"/>
    </w:rPr>
  </w:style>
  <w:style w:type="character" w:styleId="ListLabel375">
    <w:name w:val="ListLabel 375"/>
    <w:qFormat/>
    <w:rPr>
      <w:rFonts w:cs="Wingdings"/>
      <w:sz w:val="28"/>
      <w:szCs w:val="28"/>
    </w:rPr>
  </w:style>
  <w:style w:type="character" w:styleId="ListLabel376">
    <w:name w:val="ListLabel 376"/>
    <w:qFormat/>
    <w:rPr>
      <w:rFonts w:cs="Wingdings"/>
      <w:sz w:val="28"/>
      <w:szCs w:val="28"/>
    </w:rPr>
  </w:style>
  <w:style w:type="character" w:styleId="ListLabel377">
    <w:name w:val="ListLabel 377"/>
    <w:qFormat/>
    <w:rPr>
      <w:rFonts w:cs="Wingdings"/>
      <w:sz w:val="28"/>
      <w:szCs w:val="28"/>
    </w:rPr>
  </w:style>
  <w:style w:type="character" w:styleId="ListLabel378">
    <w:name w:val="ListLabel 378"/>
    <w:qFormat/>
    <w:rPr>
      <w:rFonts w:cs="Wingdings"/>
      <w:sz w:val="28"/>
      <w:szCs w:val="28"/>
    </w:rPr>
  </w:style>
  <w:style w:type="character" w:styleId="ListLabel379">
    <w:name w:val="ListLabel 379"/>
    <w:qFormat/>
    <w:rPr>
      <w:rFonts w:cs="Wingdings"/>
      <w:sz w:val="28"/>
      <w:szCs w:val="28"/>
    </w:rPr>
  </w:style>
  <w:style w:type="character" w:styleId="ListLabel380">
    <w:name w:val="ListLabel 380"/>
    <w:qFormat/>
    <w:rPr>
      <w:rFonts w:cs="Wingdings"/>
      <w:sz w:val="28"/>
      <w:szCs w:val="28"/>
    </w:rPr>
  </w:style>
  <w:style w:type="character" w:styleId="ListLabel381">
    <w:name w:val="ListLabel 381"/>
    <w:qFormat/>
    <w:rPr>
      <w:rFonts w:ascii="Times New Roman" w:hAnsi="Times New Roman" w:cs="Symbol"/>
      <w:sz w:val="24"/>
    </w:rPr>
  </w:style>
  <w:style w:type="character" w:styleId="ListLabel382">
    <w:name w:val="ListLabel 382"/>
    <w:qFormat/>
    <w:rPr>
      <w:rFonts w:cs="Courier New"/>
    </w:rPr>
  </w:style>
  <w:style w:type="character" w:styleId="ListLabel383">
    <w:name w:val="ListLabel 383"/>
    <w:qFormat/>
    <w:rPr>
      <w:rFonts w:cs="Wingdings"/>
    </w:rPr>
  </w:style>
  <w:style w:type="character" w:styleId="ListLabel384">
    <w:name w:val="ListLabel 384"/>
    <w:qFormat/>
    <w:rPr>
      <w:rFonts w:cs="Symbol"/>
    </w:rPr>
  </w:style>
  <w:style w:type="character" w:styleId="ListLabel385">
    <w:name w:val="ListLabel 385"/>
    <w:qFormat/>
    <w:rPr>
      <w:rFonts w:cs="Courier New"/>
    </w:rPr>
  </w:style>
  <w:style w:type="character" w:styleId="ListLabel386">
    <w:name w:val="ListLabel 386"/>
    <w:qFormat/>
    <w:rPr>
      <w:rFonts w:cs="Wingdings"/>
    </w:rPr>
  </w:style>
  <w:style w:type="character" w:styleId="ListLabel387">
    <w:name w:val="ListLabel 387"/>
    <w:qFormat/>
    <w:rPr>
      <w:rFonts w:cs="Symbol"/>
    </w:rPr>
  </w:style>
  <w:style w:type="character" w:styleId="ListLabel388">
    <w:name w:val="ListLabel 388"/>
    <w:qFormat/>
    <w:rPr>
      <w:rFonts w:cs="Courier New"/>
    </w:rPr>
  </w:style>
  <w:style w:type="character" w:styleId="ListLabel389">
    <w:name w:val="ListLabel 389"/>
    <w:qFormat/>
    <w:rPr>
      <w:rFonts w:cs="Wingdings"/>
    </w:rPr>
  </w:style>
  <w:style w:type="character" w:styleId="ListLabel390">
    <w:name w:val="ListLabel 390"/>
    <w:qFormat/>
    <w:rPr>
      <w:rFonts w:ascii="Times New Roman" w:hAnsi="Times New Roman" w:cs="Wingdings"/>
      <w:sz w:val="24"/>
    </w:rPr>
  </w:style>
  <w:style w:type="character" w:styleId="ListLabel391">
    <w:name w:val="ListLabel 391"/>
    <w:qFormat/>
    <w:rPr>
      <w:rFonts w:cs="Courier New"/>
    </w:rPr>
  </w:style>
  <w:style w:type="character" w:styleId="ListLabel392">
    <w:name w:val="ListLabel 392"/>
    <w:qFormat/>
    <w:rPr>
      <w:rFonts w:cs="Wingdings"/>
    </w:rPr>
  </w:style>
  <w:style w:type="character" w:styleId="ListLabel393">
    <w:name w:val="ListLabel 393"/>
    <w:qFormat/>
    <w:rPr>
      <w:rFonts w:cs="Symbol"/>
    </w:rPr>
  </w:style>
  <w:style w:type="character" w:styleId="ListLabel394">
    <w:name w:val="ListLabel 394"/>
    <w:qFormat/>
    <w:rPr>
      <w:rFonts w:cs="Courier New"/>
    </w:rPr>
  </w:style>
  <w:style w:type="character" w:styleId="ListLabel395">
    <w:name w:val="ListLabel 395"/>
    <w:qFormat/>
    <w:rPr>
      <w:rFonts w:cs="Wingdings"/>
    </w:rPr>
  </w:style>
  <w:style w:type="character" w:styleId="ListLabel396">
    <w:name w:val="ListLabel 396"/>
    <w:qFormat/>
    <w:rPr>
      <w:rFonts w:cs="Symbol"/>
    </w:rPr>
  </w:style>
  <w:style w:type="character" w:styleId="ListLabel397">
    <w:name w:val="ListLabel 397"/>
    <w:qFormat/>
    <w:rPr>
      <w:rFonts w:cs="Courier New"/>
    </w:rPr>
  </w:style>
  <w:style w:type="character" w:styleId="ListLabel398">
    <w:name w:val="ListLabel 398"/>
    <w:qFormat/>
    <w:rPr>
      <w:rFonts w:cs="Wingdings"/>
    </w:rPr>
  </w:style>
  <w:style w:type="character" w:styleId="ListLabel399">
    <w:name w:val="ListLabel 399"/>
    <w:qFormat/>
    <w:rPr>
      <w:rFonts w:ascii="Times New Roman" w:hAnsi="Times New Roman" w:cs="Symbol"/>
      <w:sz w:val="24"/>
    </w:rPr>
  </w:style>
  <w:style w:type="character" w:styleId="ListLabel400">
    <w:name w:val="ListLabel 400"/>
    <w:qFormat/>
    <w:rPr>
      <w:rFonts w:ascii="Times New Roman" w:hAnsi="Times New Roman" w:cs="Symbol"/>
      <w:sz w:val="24"/>
    </w:rPr>
  </w:style>
  <w:style w:type="character" w:styleId="ListLabel401">
    <w:name w:val="ListLabel 401"/>
    <w:qFormat/>
    <w:rPr>
      <w:rFonts w:cs="Courier New"/>
    </w:rPr>
  </w:style>
  <w:style w:type="character" w:styleId="ListLabel402">
    <w:name w:val="ListLabel 402"/>
    <w:qFormat/>
    <w:rPr>
      <w:rFonts w:cs="Wingdings"/>
    </w:rPr>
  </w:style>
  <w:style w:type="character" w:styleId="ListLabel403">
    <w:name w:val="ListLabel 403"/>
    <w:qFormat/>
    <w:rPr>
      <w:rFonts w:cs="Symbol"/>
    </w:rPr>
  </w:style>
  <w:style w:type="character" w:styleId="ListLabel404">
    <w:name w:val="ListLabel 404"/>
    <w:qFormat/>
    <w:rPr>
      <w:rFonts w:cs="Courier New"/>
    </w:rPr>
  </w:style>
  <w:style w:type="character" w:styleId="ListLabel405">
    <w:name w:val="ListLabel 405"/>
    <w:qFormat/>
    <w:rPr>
      <w:rFonts w:cs="Wingdings"/>
    </w:rPr>
  </w:style>
  <w:style w:type="character" w:styleId="ListLabel406">
    <w:name w:val="ListLabel 406"/>
    <w:qFormat/>
    <w:rPr>
      <w:rFonts w:cs="Symbol"/>
    </w:rPr>
  </w:style>
  <w:style w:type="character" w:styleId="ListLabel407">
    <w:name w:val="ListLabel 407"/>
    <w:qFormat/>
    <w:rPr>
      <w:rFonts w:cs="Courier New"/>
    </w:rPr>
  </w:style>
  <w:style w:type="character" w:styleId="ListLabel408">
    <w:name w:val="ListLabel 408"/>
    <w:qFormat/>
    <w:rPr>
      <w:rFonts w:cs="Wingdings"/>
    </w:rPr>
  </w:style>
  <w:style w:type="character" w:styleId="ListLabel409">
    <w:name w:val="ListLabel 409"/>
    <w:qFormat/>
    <w:rPr>
      <w:rFonts w:cs="Times New Roman"/>
      <w:b/>
      <w:bCs/>
      <w:i w:val="false"/>
      <w:iCs w:val="false"/>
      <w:sz w:val="24"/>
      <w:szCs w:val="24"/>
    </w:rPr>
  </w:style>
  <w:style w:type="character" w:styleId="ListLabel410">
    <w:name w:val="ListLabel 410"/>
    <w:qFormat/>
    <w:rPr>
      <w:rFonts w:cs="Times New Roman"/>
      <w:b/>
      <w:bCs/>
      <w:i w:val="false"/>
      <w:iCs w:val="false"/>
      <w:sz w:val="22"/>
      <w:szCs w:val="22"/>
    </w:rPr>
  </w:style>
  <w:style w:type="character" w:styleId="ListLabel411">
    <w:name w:val="ListLabel 411"/>
    <w:qFormat/>
    <w:rPr>
      <w:rFonts w:cs="Times New Roman"/>
    </w:rPr>
  </w:style>
  <w:style w:type="character" w:styleId="ListLabel412">
    <w:name w:val="ListLabel 412"/>
    <w:qFormat/>
    <w:rPr>
      <w:rFonts w:cs="Times New Roman"/>
    </w:rPr>
  </w:style>
  <w:style w:type="character" w:styleId="ListLabel413">
    <w:name w:val="ListLabel 413"/>
    <w:qFormat/>
    <w:rPr>
      <w:rFonts w:cs="Times New Roman"/>
    </w:rPr>
  </w:style>
  <w:style w:type="character" w:styleId="ListLabel414">
    <w:name w:val="ListLabel 414"/>
    <w:qFormat/>
    <w:rPr>
      <w:rFonts w:cs="Times New Roman"/>
    </w:rPr>
  </w:style>
  <w:style w:type="character" w:styleId="ListLabel415">
    <w:name w:val="ListLabel 415"/>
    <w:qFormat/>
    <w:rPr>
      <w:rFonts w:cs="Times New Roman"/>
    </w:rPr>
  </w:style>
  <w:style w:type="character" w:styleId="ListLabel416">
    <w:name w:val="ListLabel 416"/>
    <w:qFormat/>
    <w:rPr>
      <w:rFonts w:cs="Times New Roman"/>
    </w:rPr>
  </w:style>
  <w:style w:type="character" w:styleId="ListLabel417">
    <w:name w:val="ListLabel 417"/>
    <w:qFormat/>
    <w:rPr>
      <w:rFonts w:cs="Times New Roman"/>
    </w:rPr>
  </w:style>
  <w:style w:type="character" w:styleId="ListLabel418">
    <w:name w:val="ListLabel 418"/>
    <w:qFormat/>
    <w:rPr>
      <w:rFonts w:ascii="Times New Roman" w:hAnsi="Times New Roman" w:cs="Arial"/>
      <w:b/>
      <w:color w:val="0D0D0D"/>
      <w:sz w:val="24"/>
    </w:rPr>
  </w:style>
  <w:style w:type="character" w:styleId="ListLabel419">
    <w:name w:val="ListLabel 419"/>
    <w:qFormat/>
    <w:rPr>
      <w:rFonts w:cs="Times New Roman"/>
    </w:rPr>
  </w:style>
  <w:style w:type="character" w:styleId="ListLabel420">
    <w:name w:val="ListLabel 420"/>
    <w:qFormat/>
    <w:rPr>
      <w:rFonts w:cs="Times New Roman"/>
    </w:rPr>
  </w:style>
  <w:style w:type="character" w:styleId="ListLabel421">
    <w:name w:val="ListLabel 421"/>
    <w:qFormat/>
    <w:rPr>
      <w:rFonts w:cs="Times New Roman"/>
    </w:rPr>
  </w:style>
  <w:style w:type="character" w:styleId="ListLabel422">
    <w:name w:val="ListLabel 422"/>
    <w:qFormat/>
    <w:rPr>
      <w:rFonts w:cs="Times New Roman"/>
    </w:rPr>
  </w:style>
  <w:style w:type="character" w:styleId="ListLabel423">
    <w:name w:val="ListLabel 423"/>
    <w:qFormat/>
    <w:rPr>
      <w:rFonts w:cs="Times New Roman"/>
    </w:rPr>
  </w:style>
  <w:style w:type="character" w:styleId="ListLabel424">
    <w:name w:val="ListLabel 424"/>
    <w:qFormat/>
    <w:rPr>
      <w:rFonts w:cs="Times New Roman"/>
    </w:rPr>
  </w:style>
  <w:style w:type="character" w:styleId="ListLabel425">
    <w:name w:val="ListLabel 425"/>
    <w:qFormat/>
    <w:rPr>
      <w:rFonts w:cs="Times New Roman"/>
    </w:rPr>
  </w:style>
  <w:style w:type="character" w:styleId="ListLabel426">
    <w:name w:val="ListLabel 426"/>
    <w:qFormat/>
    <w:rPr>
      <w:rFonts w:cs="Times New Roman"/>
    </w:rPr>
  </w:style>
  <w:style w:type="character" w:styleId="ListLabel427">
    <w:name w:val="ListLabel 427"/>
    <w:qFormat/>
    <w:rPr>
      <w:rFonts w:ascii="Times New Roman" w:hAnsi="Times New Roman" w:cs="Symbol"/>
      <w:sz w:val="24"/>
    </w:rPr>
  </w:style>
  <w:style w:type="character" w:styleId="ListLabel428">
    <w:name w:val="ListLabel 428"/>
    <w:qFormat/>
    <w:rPr>
      <w:rFonts w:cs="Courier New"/>
    </w:rPr>
  </w:style>
  <w:style w:type="character" w:styleId="ListLabel429">
    <w:name w:val="ListLabel 429"/>
    <w:qFormat/>
    <w:rPr>
      <w:rFonts w:cs="Wingdings"/>
    </w:rPr>
  </w:style>
  <w:style w:type="character" w:styleId="ListLabel430">
    <w:name w:val="ListLabel 430"/>
    <w:qFormat/>
    <w:rPr>
      <w:rFonts w:cs="Symbol"/>
    </w:rPr>
  </w:style>
  <w:style w:type="character" w:styleId="ListLabel431">
    <w:name w:val="ListLabel 431"/>
    <w:qFormat/>
    <w:rPr>
      <w:rFonts w:cs="Courier New"/>
    </w:rPr>
  </w:style>
  <w:style w:type="character" w:styleId="ListLabel432">
    <w:name w:val="ListLabel 432"/>
    <w:qFormat/>
    <w:rPr>
      <w:rFonts w:cs="Wingdings"/>
    </w:rPr>
  </w:style>
  <w:style w:type="character" w:styleId="ListLabel433">
    <w:name w:val="ListLabel 433"/>
    <w:qFormat/>
    <w:rPr>
      <w:rFonts w:cs="Symbol"/>
    </w:rPr>
  </w:style>
  <w:style w:type="character" w:styleId="ListLabel434">
    <w:name w:val="ListLabel 434"/>
    <w:qFormat/>
    <w:rPr>
      <w:rFonts w:cs="Courier New"/>
    </w:rPr>
  </w:style>
  <w:style w:type="character" w:styleId="ListLabel435">
    <w:name w:val="ListLabel 435"/>
    <w:qFormat/>
    <w:rPr>
      <w:rFonts w:cs="Wingdings"/>
    </w:rPr>
  </w:style>
  <w:style w:type="character" w:styleId="ListLabel436">
    <w:name w:val="ListLabel 436"/>
    <w:qFormat/>
    <w:rPr>
      <w:rFonts w:ascii="Times New Roman" w:hAnsi="Times New Roman" w:cs="Symbol"/>
      <w:sz w:val="24"/>
    </w:rPr>
  </w:style>
  <w:style w:type="character" w:styleId="ListLabel437">
    <w:name w:val="ListLabel 437"/>
    <w:qFormat/>
    <w:rPr>
      <w:rFonts w:cs="Courier New"/>
    </w:rPr>
  </w:style>
  <w:style w:type="character" w:styleId="ListLabel438">
    <w:name w:val="ListLabel 438"/>
    <w:qFormat/>
    <w:rPr>
      <w:rFonts w:cs="Wingdings"/>
    </w:rPr>
  </w:style>
  <w:style w:type="character" w:styleId="ListLabel439">
    <w:name w:val="ListLabel 439"/>
    <w:qFormat/>
    <w:rPr>
      <w:rFonts w:cs="Symbol"/>
    </w:rPr>
  </w:style>
  <w:style w:type="character" w:styleId="ListLabel440">
    <w:name w:val="ListLabel 440"/>
    <w:qFormat/>
    <w:rPr>
      <w:rFonts w:cs="Courier New"/>
    </w:rPr>
  </w:style>
  <w:style w:type="character" w:styleId="ListLabel441">
    <w:name w:val="ListLabel 441"/>
    <w:qFormat/>
    <w:rPr>
      <w:rFonts w:cs="Wingdings"/>
    </w:rPr>
  </w:style>
  <w:style w:type="character" w:styleId="ListLabel442">
    <w:name w:val="ListLabel 442"/>
    <w:qFormat/>
    <w:rPr>
      <w:rFonts w:cs="Symbol"/>
    </w:rPr>
  </w:style>
  <w:style w:type="character" w:styleId="ListLabel443">
    <w:name w:val="ListLabel 443"/>
    <w:qFormat/>
    <w:rPr>
      <w:rFonts w:cs="Courier New"/>
    </w:rPr>
  </w:style>
  <w:style w:type="character" w:styleId="ListLabel444">
    <w:name w:val="ListLabel 444"/>
    <w:qFormat/>
    <w:rPr>
      <w:rFonts w:cs="Wingdings"/>
    </w:rPr>
  </w:style>
  <w:style w:type="character" w:styleId="ListLabel445">
    <w:name w:val="ListLabel 445"/>
    <w:qFormat/>
    <w:rPr>
      <w:rFonts w:ascii="Times New Roman" w:hAnsi="Times New Roman" w:cs="Symbol"/>
      <w:sz w:val="24"/>
    </w:rPr>
  </w:style>
  <w:style w:type="character" w:styleId="ListLabel446">
    <w:name w:val="ListLabel 446"/>
    <w:qFormat/>
    <w:rPr>
      <w:rFonts w:cs="Courier New"/>
    </w:rPr>
  </w:style>
  <w:style w:type="character" w:styleId="ListLabel447">
    <w:name w:val="ListLabel 447"/>
    <w:qFormat/>
    <w:rPr>
      <w:rFonts w:cs="Wingdings"/>
    </w:rPr>
  </w:style>
  <w:style w:type="character" w:styleId="ListLabel448">
    <w:name w:val="ListLabel 448"/>
    <w:qFormat/>
    <w:rPr>
      <w:rFonts w:cs="Symbol"/>
    </w:rPr>
  </w:style>
  <w:style w:type="character" w:styleId="ListLabel449">
    <w:name w:val="ListLabel 449"/>
    <w:qFormat/>
    <w:rPr>
      <w:rFonts w:cs="Courier New"/>
    </w:rPr>
  </w:style>
  <w:style w:type="character" w:styleId="ListLabel450">
    <w:name w:val="ListLabel 450"/>
    <w:qFormat/>
    <w:rPr>
      <w:rFonts w:cs="Wingdings"/>
    </w:rPr>
  </w:style>
  <w:style w:type="character" w:styleId="ListLabel451">
    <w:name w:val="ListLabel 451"/>
    <w:qFormat/>
    <w:rPr>
      <w:rFonts w:cs="Symbol"/>
    </w:rPr>
  </w:style>
  <w:style w:type="character" w:styleId="ListLabel452">
    <w:name w:val="ListLabel 452"/>
    <w:qFormat/>
    <w:rPr>
      <w:rFonts w:cs="Courier New"/>
    </w:rPr>
  </w:style>
  <w:style w:type="character" w:styleId="ListLabel453">
    <w:name w:val="ListLabel 453"/>
    <w:qFormat/>
    <w:rPr>
      <w:rFonts w:cs="Wingdings"/>
    </w:rPr>
  </w:style>
  <w:style w:type="character" w:styleId="ListLabel454">
    <w:name w:val="ListLabel 454"/>
    <w:qFormat/>
    <w:rPr>
      <w:rFonts w:ascii="Times New Roman" w:hAnsi="Times New Roman" w:cs="Symbol"/>
      <w:sz w:val="24"/>
    </w:rPr>
  </w:style>
  <w:style w:type="character" w:styleId="ListLabel455">
    <w:name w:val="ListLabel 455"/>
    <w:qFormat/>
    <w:rPr>
      <w:rFonts w:cs="Courier New"/>
    </w:rPr>
  </w:style>
  <w:style w:type="character" w:styleId="ListLabel456">
    <w:name w:val="ListLabel 456"/>
    <w:qFormat/>
    <w:rPr>
      <w:rFonts w:cs="Wingdings"/>
    </w:rPr>
  </w:style>
  <w:style w:type="character" w:styleId="ListLabel457">
    <w:name w:val="ListLabel 457"/>
    <w:qFormat/>
    <w:rPr>
      <w:rFonts w:cs="Symbol"/>
    </w:rPr>
  </w:style>
  <w:style w:type="character" w:styleId="ListLabel458">
    <w:name w:val="ListLabel 458"/>
    <w:qFormat/>
    <w:rPr>
      <w:rFonts w:cs="Courier New"/>
    </w:rPr>
  </w:style>
  <w:style w:type="character" w:styleId="ListLabel459">
    <w:name w:val="ListLabel 459"/>
    <w:qFormat/>
    <w:rPr>
      <w:rFonts w:cs="Wingdings"/>
    </w:rPr>
  </w:style>
  <w:style w:type="character" w:styleId="ListLabel460">
    <w:name w:val="ListLabel 460"/>
    <w:qFormat/>
    <w:rPr>
      <w:rFonts w:cs="Symbol"/>
    </w:rPr>
  </w:style>
  <w:style w:type="character" w:styleId="ListLabel461">
    <w:name w:val="ListLabel 461"/>
    <w:qFormat/>
    <w:rPr>
      <w:rFonts w:cs="Courier New"/>
    </w:rPr>
  </w:style>
  <w:style w:type="character" w:styleId="ListLabel462">
    <w:name w:val="ListLabel 462"/>
    <w:qFormat/>
    <w:rPr>
      <w:rFonts w:cs="Wingdings"/>
    </w:rPr>
  </w:style>
  <w:style w:type="character" w:styleId="ListLabel463">
    <w:name w:val="ListLabel 463"/>
    <w:qFormat/>
    <w:rPr>
      <w:rFonts w:ascii="Times New Roman" w:hAnsi="Times New Roman" w:cs="Symbol"/>
      <w:sz w:val="24"/>
    </w:rPr>
  </w:style>
  <w:style w:type="character" w:styleId="ListLabel464">
    <w:name w:val="ListLabel 464"/>
    <w:qFormat/>
    <w:rPr>
      <w:rFonts w:cs="Courier New"/>
    </w:rPr>
  </w:style>
  <w:style w:type="character" w:styleId="ListLabel465">
    <w:name w:val="ListLabel 465"/>
    <w:qFormat/>
    <w:rPr>
      <w:rFonts w:cs="Wingdings"/>
    </w:rPr>
  </w:style>
  <w:style w:type="character" w:styleId="ListLabel466">
    <w:name w:val="ListLabel 466"/>
    <w:qFormat/>
    <w:rPr>
      <w:rFonts w:cs="Symbol"/>
    </w:rPr>
  </w:style>
  <w:style w:type="character" w:styleId="ListLabel467">
    <w:name w:val="ListLabel 467"/>
    <w:qFormat/>
    <w:rPr>
      <w:rFonts w:cs="Courier New"/>
    </w:rPr>
  </w:style>
  <w:style w:type="character" w:styleId="ListLabel468">
    <w:name w:val="ListLabel 468"/>
    <w:qFormat/>
    <w:rPr>
      <w:rFonts w:cs="Wingdings"/>
    </w:rPr>
  </w:style>
  <w:style w:type="character" w:styleId="ListLabel469">
    <w:name w:val="ListLabel 469"/>
    <w:qFormat/>
    <w:rPr>
      <w:rFonts w:cs="Symbol"/>
    </w:rPr>
  </w:style>
  <w:style w:type="character" w:styleId="ListLabel470">
    <w:name w:val="ListLabel 470"/>
    <w:qFormat/>
    <w:rPr>
      <w:rFonts w:cs="Courier New"/>
    </w:rPr>
  </w:style>
  <w:style w:type="character" w:styleId="ListLabel471">
    <w:name w:val="ListLabel 471"/>
    <w:qFormat/>
    <w:rPr>
      <w:rFonts w:cs="Wingdings"/>
    </w:rPr>
  </w:style>
  <w:style w:type="character" w:styleId="ListLabel472">
    <w:name w:val="ListLabel 472"/>
    <w:qFormat/>
    <w:rPr>
      <w:rFonts w:cs="Symbol"/>
      <w:sz w:val="24"/>
    </w:rPr>
  </w:style>
  <w:style w:type="character" w:styleId="ListLabel473">
    <w:name w:val="ListLabel 473"/>
    <w:qFormat/>
    <w:rPr>
      <w:rFonts w:cs="Courier New"/>
    </w:rPr>
  </w:style>
  <w:style w:type="character" w:styleId="ListLabel474">
    <w:name w:val="ListLabel 474"/>
    <w:qFormat/>
    <w:rPr>
      <w:rFonts w:cs="Wingdings"/>
    </w:rPr>
  </w:style>
  <w:style w:type="character" w:styleId="ListLabel475">
    <w:name w:val="ListLabel 475"/>
    <w:qFormat/>
    <w:rPr>
      <w:rFonts w:cs="Symbol"/>
    </w:rPr>
  </w:style>
  <w:style w:type="character" w:styleId="ListLabel476">
    <w:name w:val="ListLabel 476"/>
    <w:qFormat/>
    <w:rPr>
      <w:rFonts w:cs="Courier New"/>
    </w:rPr>
  </w:style>
  <w:style w:type="character" w:styleId="ListLabel477">
    <w:name w:val="ListLabel 477"/>
    <w:qFormat/>
    <w:rPr>
      <w:rFonts w:cs="Wingdings"/>
    </w:rPr>
  </w:style>
  <w:style w:type="character" w:styleId="ListLabel478">
    <w:name w:val="ListLabel 478"/>
    <w:qFormat/>
    <w:rPr>
      <w:rFonts w:cs="Symbol"/>
    </w:rPr>
  </w:style>
  <w:style w:type="character" w:styleId="ListLabel479">
    <w:name w:val="ListLabel 479"/>
    <w:qFormat/>
    <w:rPr>
      <w:rFonts w:cs="Courier New"/>
    </w:rPr>
  </w:style>
  <w:style w:type="character" w:styleId="ListLabel480">
    <w:name w:val="ListLabel 480"/>
    <w:qFormat/>
    <w:rPr>
      <w:rFonts w:cs="Wingdings"/>
    </w:rPr>
  </w:style>
  <w:style w:type="character" w:styleId="ListLabel481">
    <w:name w:val="ListLabel 481"/>
    <w:qFormat/>
    <w:rPr>
      <w:rFonts w:ascii="Times New Roman" w:hAnsi="Times New Roman" w:cs="Times New Roman"/>
      <w:sz w:val="24"/>
    </w:rPr>
  </w:style>
  <w:style w:type="character" w:styleId="ListLabel482">
    <w:name w:val="ListLabel 482"/>
    <w:qFormat/>
    <w:rPr>
      <w:rFonts w:cs="Courier New"/>
    </w:rPr>
  </w:style>
  <w:style w:type="character" w:styleId="ListLabel483">
    <w:name w:val="ListLabel 483"/>
    <w:qFormat/>
    <w:rPr>
      <w:rFonts w:cs="Wingdings"/>
    </w:rPr>
  </w:style>
  <w:style w:type="character" w:styleId="ListLabel484">
    <w:name w:val="ListLabel 484"/>
    <w:qFormat/>
    <w:rPr>
      <w:rFonts w:cs="Symbol"/>
    </w:rPr>
  </w:style>
  <w:style w:type="character" w:styleId="ListLabel485">
    <w:name w:val="ListLabel 485"/>
    <w:qFormat/>
    <w:rPr>
      <w:rFonts w:cs="Courier New"/>
    </w:rPr>
  </w:style>
  <w:style w:type="character" w:styleId="ListLabel486">
    <w:name w:val="ListLabel 486"/>
    <w:qFormat/>
    <w:rPr>
      <w:rFonts w:cs="Wingdings"/>
    </w:rPr>
  </w:style>
  <w:style w:type="character" w:styleId="ListLabel487">
    <w:name w:val="ListLabel 487"/>
    <w:qFormat/>
    <w:rPr>
      <w:rFonts w:cs="Symbol"/>
    </w:rPr>
  </w:style>
  <w:style w:type="character" w:styleId="ListLabel488">
    <w:name w:val="ListLabel 488"/>
    <w:qFormat/>
    <w:rPr>
      <w:rFonts w:cs="Courier New"/>
    </w:rPr>
  </w:style>
  <w:style w:type="character" w:styleId="ListLabel489">
    <w:name w:val="ListLabel 489"/>
    <w:qFormat/>
    <w:rPr>
      <w:rFonts w:cs="Wingdings"/>
    </w:rPr>
  </w:style>
  <w:style w:type="character" w:styleId="ListLabel490">
    <w:name w:val="ListLabel 490"/>
    <w:qFormat/>
    <w:rPr>
      <w:rFonts w:ascii="Times New Roman" w:hAnsi="Times New Roman" w:cs="Wingdings"/>
      <w:sz w:val="24"/>
      <w:szCs w:val="28"/>
    </w:rPr>
  </w:style>
  <w:style w:type="character" w:styleId="ListLabel491">
    <w:name w:val="ListLabel 491"/>
    <w:qFormat/>
    <w:rPr>
      <w:rFonts w:cs="Wingdings"/>
      <w:sz w:val="28"/>
      <w:szCs w:val="28"/>
    </w:rPr>
  </w:style>
  <w:style w:type="character" w:styleId="ListLabel492">
    <w:name w:val="ListLabel 492"/>
    <w:qFormat/>
    <w:rPr>
      <w:rFonts w:cs="Wingdings"/>
      <w:sz w:val="28"/>
      <w:szCs w:val="28"/>
    </w:rPr>
  </w:style>
  <w:style w:type="character" w:styleId="ListLabel493">
    <w:name w:val="ListLabel 493"/>
    <w:qFormat/>
    <w:rPr>
      <w:rFonts w:cs="Wingdings"/>
      <w:sz w:val="28"/>
      <w:szCs w:val="28"/>
    </w:rPr>
  </w:style>
  <w:style w:type="character" w:styleId="ListLabel494">
    <w:name w:val="ListLabel 494"/>
    <w:qFormat/>
    <w:rPr>
      <w:rFonts w:cs="Wingdings"/>
      <w:sz w:val="28"/>
      <w:szCs w:val="28"/>
    </w:rPr>
  </w:style>
  <w:style w:type="character" w:styleId="ListLabel495">
    <w:name w:val="ListLabel 495"/>
    <w:qFormat/>
    <w:rPr>
      <w:rFonts w:cs="Wingdings"/>
      <w:sz w:val="28"/>
      <w:szCs w:val="28"/>
    </w:rPr>
  </w:style>
  <w:style w:type="character" w:styleId="ListLabel496">
    <w:name w:val="ListLabel 496"/>
    <w:qFormat/>
    <w:rPr>
      <w:rFonts w:cs="Wingdings"/>
      <w:sz w:val="28"/>
      <w:szCs w:val="28"/>
    </w:rPr>
  </w:style>
  <w:style w:type="character" w:styleId="ListLabel497">
    <w:name w:val="ListLabel 497"/>
    <w:qFormat/>
    <w:rPr>
      <w:rFonts w:cs="Wingdings"/>
      <w:sz w:val="28"/>
      <w:szCs w:val="28"/>
    </w:rPr>
  </w:style>
  <w:style w:type="character" w:styleId="ListLabel498">
    <w:name w:val="ListLabel 498"/>
    <w:qFormat/>
    <w:rPr>
      <w:rFonts w:cs="Wingdings"/>
      <w:sz w:val="28"/>
      <w:szCs w:val="28"/>
    </w:rPr>
  </w:style>
  <w:style w:type="character" w:styleId="ListLabel499">
    <w:name w:val="ListLabel 499"/>
    <w:qFormat/>
    <w:rPr>
      <w:rFonts w:ascii="Times New Roman" w:hAnsi="Times New Roman" w:cs="Symbol"/>
      <w:sz w:val="24"/>
    </w:rPr>
  </w:style>
  <w:style w:type="character" w:styleId="ListLabel500">
    <w:name w:val="ListLabel 500"/>
    <w:qFormat/>
    <w:rPr>
      <w:rFonts w:cs="Courier New"/>
    </w:rPr>
  </w:style>
  <w:style w:type="character" w:styleId="ListLabel501">
    <w:name w:val="ListLabel 501"/>
    <w:qFormat/>
    <w:rPr>
      <w:rFonts w:cs="Wingdings"/>
    </w:rPr>
  </w:style>
  <w:style w:type="character" w:styleId="ListLabel502">
    <w:name w:val="ListLabel 502"/>
    <w:qFormat/>
    <w:rPr>
      <w:rFonts w:cs="Symbol"/>
    </w:rPr>
  </w:style>
  <w:style w:type="character" w:styleId="ListLabel503">
    <w:name w:val="ListLabel 503"/>
    <w:qFormat/>
    <w:rPr>
      <w:rFonts w:cs="Courier New"/>
    </w:rPr>
  </w:style>
  <w:style w:type="character" w:styleId="ListLabel504">
    <w:name w:val="ListLabel 504"/>
    <w:qFormat/>
    <w:rPr>
      <w:rFonts w:cs="Wingdings"/>
    </w:rPr>
  </w:style>
  <w:style w:type="character" w:styleId="ListLabel505">
    <w:name w:val="ListLabel 505"/>
    <w:qFormat/>
    <w:rPr>
      <w:rFonts w:cs="Symbol"/>
    </w:rPr>
  </w:style>
  <w:style w:type="character" w:styleId="ListLabel506">
    <w:name w:val="ListLabel 506"/>
    <w:qFormat/>
    <w:rPr>
      <w:rFonts w:cs="Courier New"/>
    </w:rPr>
  </w:style>
  <w:style w:type="character" w:styleId="ListLabel507">
    <w:name w:val="ListLabel 507"/>
    <w:qFormat/>
    <w:rPr>
      <w:rFonts w:cs="Wingdings"/>
    </w:rPr>
  </w:style>
  <w:style w:type="character" w:styleId="ListLabel508">
    <w:name w:val="ListLabel 508"/>
    <w:qFormat/>
    <w:rPr>
      <w:rFonts w:ascii="Times New Roman" w:hAnsi="Times New Roman" w:cs="Wingdings"/>
      <w:sz w:val="24"/>
    </w:rPr>
  </w:style>
  <w:style w:type="character" w:styleId="ListLabel509">
    <w:name w:val="ListLabel 509"/>
    <w:qFormat/>
    <w:rPr>
      <w:rFonts w:cs="Courier New"/>
    </w:rPr>
  </w:style>
  <w:style w:type="character" w:styleId="ListLabel510">
    <w:name w:val="ListLabel 510"/>
    <w:qFormat/>
    <w:rPr>
      <w:rFonts w:cs="Wingdings"/>
    </w:rPr>
  </w:style>
  <w:style w:type="character" w:styleId="ListLabel511">
    <w:name w:val="ListLabel 511"/>
    <w:qFormat/>
    <w:rPr>
      <w:rFonts w:cs="Symbol"/>
    </w:rPr>
  </w:style>
  <w:style w:type="character" w:styleId="ListLabel512">
    <w:name w:val="ListLabel 512"/>
    <w:qFormat/>
    <w:rPr>
      <w:rFonts w:cs="Courier New"/>
    </w:rPr>
  </w:style>
  <w:style w:type="character" w:styleId="ListLabel513">
    <w:name w:val="ListLabel 513"/>
    <w:qFormat/>
    <w:rPr>
      <w:rFonts w:cs="Wingdings"/>
    </w:rPr>
  </w:style>
  <w:style w:type="character" w:styleId="ListLabel514">
    <w:name w:val="ListLabel 514"/>
    <w:qFormat/>
    <w:rPr>
      <w:rFonts w:cs="Symbol"/>
    </w:rPr>
  </w:style>
  <w:style w:type="character" w:styleId="ListLabel515">
    <w:name w:val="ListLabel 515"/>
    <w:qFormat/>
    <w:rPr>
      <w:rFonts w:cs="Courier New"/>
    </w:rPr>
  </w:style>
  <w:style w:type="character" w:styleId="ListLabel516">
    <w:name w:val="ListLabel 516"/>
    <w:qFormat/>
    <w:rPr>
      <w:rFonts w:cs="Wingdings"/>
    </w:rPr>
  </w:style>
  <w:style w:type="character" w:styleId="ListLabel517">
    <w:name w:val="ListLabel 517"/>
    <w:qFormat/>
    <w:rPr>
      <w:rFonts w:ascii="Times New Roman" w:hAnsi="Times New Roman" w:cs="Symbol"/>
      <w:sz w:val="24"/>
    </w:rPr>
  </w:style>
  <w:style w:type="character" w:styleId="ListLabel518">
    <w:name w:val="ListLabel 518"/>
    <w:qFormat/>
    <w:rPr>
      <w:rFonts w:ascii="Times New Roman" w:hAnsi="Times New Roman" w:cs="Symbol"/>
      <w:sz w:val="24"/>
    </w:rPr>
  </w:style>
  <w:style w:type="character" w:styleId="ListLabel519">
    <w:name w:val="ListLabel 519"/>
    <w:qFormat/>
    <w:rPr>
      <w:rFonts w:cs="Courier New"/>
    </w:rPr>
  </w:style>
  <w:style w:type="character" w:styleId="ListLabel520">
    <w:name w:val="ListLabel 520"/>
    <w:qFormat/>
    <w:rPr>
      <w:rFonts w:cs="Wingdings"/>
    </w:rPr>
  </w:style>
  <w:style w:type="character" w:styleId="ListLabel521">
    <w:name w:val="ListLabel 521"/>
    <w:qFormat/>
    <w:rPr>
      <w:rFonts w:cs="Symbol"/>
    </w:rPr>
  </w:style>
  <w:style w:type="character" w:styleId="ListLabel522">
    <w:name w:val="ListLabel 522"/>
    <w:qFormat/>
    <w:rPr>
      <w:rFonts w:cs="Courier New"/>
    </w:rPr>
  </w:style>
  <w:style w:type="character" w:styleId="ListLabel523">
    <w:name w:val="ListLabel 523"/>
    <w:qFormat/>
    <w:rPr>
      <w:rFonts w:cs="Wingdings"/>
    </w:rPr>
  </w:style>
  <w:style w:type="character" w:styleId="ListLabel524">
    <w:name w:val="ListLabel 524"/>
    <w:qFormat/>
    <w:rPr>
      <w:rFonts w:cs="Symbol"/>
    </w:rPr>
  </w:style>
  <w:style w:type="character" w:styleId="ListLabel525">
    <w:name w:val="ListLabel 525"/>
    <w:qFormat/>
    <w:rPr>
      <w:rFonts w:cs="Courier New"/>
    </w:rPr>
  </w:style>
  <w:style w:type="character" w:styleId="ListLabel526">
    <w:name w:val="ListLabel 526"/>
    <w:qFormat/>
    <w:rPr>
      <w:rFonts w:cs="Wingdings"/>
    </w:rPr>
  </w:style>
  <w:style w:type="character" w:styleId="ListLabel527">
    <w:name w:val="ListLabel 527"/>
    <w:qFormat/>
    <w:rPr>
      <w:rFonts w:cs="Times New Roman"/>
      <w:b/>
      <w:bCs/>
      <w:i w:val="false"/>
      <w:iCs w:val="false"/>
      <w:sz w:val="24"/>
      <w:szCs w:val="24"/>
    </w:rPr>
  </w:style>
  <w:style w:type="character" w:styleId="ListLabel528">
    <w:name w:val="ListLabel 528"/>
    <w:qFormat/>
    <w:rPr>
      <w:rFonts w:cs="Times New Roman"/>
      <w:b/>
      <w:bCs/>
      <w:i w:val="false"/>
      <w:iCs w:val="false"/>
      <w:sz w:val="22"/>
      <w:szCs w:val="22"/>
    </w:rPr>
  </w:style>
  <w:style w:type="character" w:styleId="ListLabel529">
    <w:name w:val="ListLabel 529"/>
    <w:qFormat/>
    <w:rPr>
      <w:rFonts w:cs="Times New Roman"/>
    </w:rPr>
  </w:style>
  <w:style w:type="character" w:styleId="ListLabel530">
    <w:name w:val="ListLabel 530"/>
    <w:qFormat/>
    <w:rPr>
      <w:rFonts w:cs="Times New Roman"/>
    </w:rPr>
  </w:style>
  <w:style w:type="character" w:styleId="ListLabel531">
    <w:name w:val="ListLabel 531"/>
    <w:qFormat/>
    <w:rPr>
      <w:rFonts w:cs="Times New Roman"/>
    </w:rPr>
  </w:style>
  <w:style w:type="character" w:styleId="ListLabel532">
    <w:name w:val="ListLabel 532"/>
    <w:qFormat/>
    <w:rPr>
      <w:rFonts w:cs="Times New Roman"/>
    </w:rPr>
  </w:style>
  <w:style w:type="character" w:styleId="ListLabel533">
    <w:name w:val="ListLabel 533"/>
    <w:qFormat/>
    <w:rPr>
      <w:rFonts w:cs="Times New Roman"/>
    </w:rPr>
  </w:style>
  <w:style w:type="character" w:styleId="ListLabel534">
    <w:name w:val="ListLabel 534"/>
    <w:qFormat/>
    <w:rPr>
      <w:rFonts w:cs="Times New Roman"/>
    </w:rPr>
  </w:style>
  <w:style w:type="character" w:styleId="ListLabel535">
    <w:name w:val="ListLabel 535"/>
    <w:qFormat/>
    <w:rPr>
      <w:rFonts w:cs="Times New Roman"/>
    </w:rPr>
  </w:style>
  <w:style w:type="character" w:styleId="ListLabel536">
    <w:name w:val="ListLabel 536"/>
    <w:qFormat/>
    <w:rPr>
      <w:rFonts w:ascii="Times New Roman" w:hAnsi="Times New Roman" w:cs="Arial"/>
      <w:b/>
      <w:color w:val="0D0D0D"/>
      <w:sz w:val="24"/>
    </w:rPr>
  </w:style>
  <w:style w:type="character" w:styleId="ListLabel537">
    <w:name w:val="ListLabel 537"/>
    <w:qFormat/>
    <w:rPr>
      <w:rFonts w:cs="Times New Roman"/>
    </w:rPr>
  </w:style>
  <w:style w:type="character" w:styleId="ListLabel538">
    <w:name w:val="ListLabel 538"/>
    <w:qFormat/>
    <w:rPr>
      <w:rFonts w:cs="Times New Roman"/>
    </w:rPr>
  </w:style>
  <w:style w:type="character" w:styleId="ListLabel539">
    <w:name w:val="ListLabel 539"/>
    <w:qFormat/>
    <w:rPr>
      <w:rFonts w:cs="Times New Roman"/>
    </w:rPr>
  </w:style>
  <w:style w:type="character" w:styleId="ListLabel540">
    <w:name w:val="ListLabel 540"/>
    <w:qFormat/>
    <w:rPr>
      <w:rFonts w:cs="Times New Roman"/>
    </w:rPr>
  </w:style>
  <w:style w:type="character" w:styleId="ListLabel541">
    <w:name w:val="ListLabel 541"/>
    <w:qFormat/>
    <w:rPr>
      <w:rFonts w:cs="Times New Roman"/>
    </w:rPr>
  </w:style>
  <w:style w:type="character" w:styleId="ListLabel542">
    <w:name w:val="ListLabel 542"/>
    <w:qFormat/>
    <w:rPr>
      <w:rFonts w:cs="Times New Roman"/>
    </w:rPr>
  </w:style>
  <w:style w:type="character" w:styleId="ListLabel543">
    <w:name w:val="ListLabel 543"/>
    <w:qFormat/>
    <w:rPr>
      <w:rFonts w:cs="Times New Roman"/>
    </w:rPr>
  </w:style>
  <w:style w:type="character" w:styleId="ListLabel544">
    <w:name w:val="ListLabel 544"/>
    <w:qFormat/>
    <w:rPr>
      <w:rFonts w:cs="Times New Roman"/>
    </w:rPr>
  </w:style>
  <w:style w:type="character" w:styleId="ListLabel545">
    <w:name w:val="ListLabel 545"/>
    <w:qFormat/>
    <w:rPr>
      <w:rFonts w:ascii="Times New Roman" w:hAnsi="Times New Roman" w:cs="Symbol"/>
      <w:sz w:val="24"/>
    </w:rPr>
  </w:style>
  <w:style w:type="character" w:styleId="ListLabel546">
    <w:name w:val="ListLabel 546"/>
    <w:qFormat/>
    <w:rPr>
      <w:rFonts w:cs="Courier New"/>
    </w:rPr>
  </w:style>
  <w:style w:type="character" w:styleId="ListLabel547">
    <w:name w:val="ListLabel 547"/>
    <w:qFormat/>
    <w:rPr>
      <w:rFonts w:cs="Wingdings"/>
    </w:rPr>
  </w:style>
  <w:style w:type="character" w:styleId="ListLabel548">
    <w:name w:val="ListLabel 548"/>
    <w:qFormat/>
    <w:rPr>
      <w:rFonts w:cs="Symbol"/>
    </w:rPr>
  </w:style>
  <w:style w:type="character" w:styleId="ListLabel549">
    <w:name w:val="ListLabel 549"/>
    <w:qFormat/>
    <w:rPr>
      <w:rFonts w:cs="Courier New"/>
    </w:rPr>
  </w:style>
  <w:style w:type="character" w:styleId="ListLabel550">
    <w:name w:val="ListLabel 550"/>
    <w:qFormat/>
    <w:rPr>
      <w:rFonts w:cs="Wingdings"/>
    </w:rPr>
  </w:style>
  <w:style w:type="character" w:styleId="ListLabel551">
    <w:name w:val="ListLabel 551"/>
    <w:qFormat/>
    <w:rPr>
      <w:rFonts w:cs="Symbol"/>
    </w:rPr>
  </w:style>
  <w:style w:type="character" w:styleId="ListLabel552">
    <w:name w:val="ListLabel 552"/>
    <w:qFormat/>
    <w:rPr>
      <w:rFonts w:cs="Courier New"/>
    </w:rPr>
  </w:style>
  <w:style w:type="character" w:styleId="ListLabel553">
    <w:name w:val="ListLabel 553"/>
    <w:qFormat/>
    <w:rPr>
      <w:rFonts w:cs="Wingdings"/>
    </w:rPr>
  </w:style>
  <w:style w:type="character" w:styleId="ListLabel554">
    <w:name w:val="ListLabel 554"/>
    <w:qFormat/>
    <w:rPr>
      <w:rFonts w:ascii="Times New Roman" w:hAnsi="Times New Roman" w:cs="Symbol"/>
      <w:sz w:val="24"/>
    </w:rPr>
  </w:style>
  <w:style w:type="character" w:styleId="ListLabel555">
    <w:name w:val="ListLabel 555"/>
    <w:qFormat/>
    <w:rPr>
      <w:rFonts w:cs="Courier New"/>
    </w:rPr>
  </w:style>
  <w:style w:type="character" w:styleId="ListLabel556">
    <w:name w:val="ListLabel 556"/>
    <w:qFormat/>
    <w:rPr>
      <w:rFonts w:cs="Wingdings"/>
    </w:rPr>
  </w:style>
  <w:style w:type="character" w:styleId="ListLabel557">
    <w:name w:val="ListLabel 557"/>
    <w:qFormat/>
    <w:rPr>
      <w:rFonts w:cs="Symbol"/>
    </w:rPr>
  </w:style>
  <w:style w:type="character" w:styleId="ListLabel558">
    <w:name w:val="ListLabel 558"/>
    <w:qFormat/>
    <w:rPr>
      <w:rFonts w:cs="Courier New"/>
    </w:rPr>
  </w:style>
  <w:style w:type="character" w:styleId="ListLabel559">
    <w:name w:val="ListLabel 559"/>
    <w:qFormat/>
    <w:rPr>
      <w:rFonts w:cs="Wingdings"/>
    </w:rPr>
  </w:style>
  <w:style w:type="character" w:styleId="ListLabel560">
    <w:name w:val="ListLabel 560"/>
    <w:qFormat/>
    <w:rPr>
      <w:rFonts w:cs="Symbol"/>
    </w:rPr>
  </w:style>
  <w:style w:type="character" w:styleId="ListLabel561">
    <w:name w:val="ListLabel 561"/>
    <w:qFormat/>
    <w:rPr>
      <w:rFonts w:cs="Courier New"/>
    </w:rPr>
  </w:style>
  <w:style w:type="character" w:styleId="ListLabel562">
    <w:name w:val="ListLabel 562"/>
    <w:qFormat/>
    <w:rPr>
      <w:rFonts w:cs="Wingdings"/>
    </w:rPr>
  </w:style>
  <w:style w:type="character" w:styleId="ListLabel563">
    <w:name w:val="ListLabel 563"/>
    <w:qFormat/>
    <w:rPr>
      <w:rFonts w:ascii="Times New Roman" w:hAnsi="Times New Roman" w:cs="Symbol"/>
      <w:sz w:val="24"/>
    </w:rPr>
  </w:style>
  <w:style w:type="character" w:styleId="ListLabel564">
    <w:name w:val="ListLabel 564"/>
    <w:qFormat/>
    <w:rPr>
      <w:rFonts w:cs="Courier New"/>
    </w:rPr>
  </w:style>
  <w:style w:type="character" w:styleId="ListLabel565">
    <w:name w:val="ListLabel 565"/>
    <w:qFormat/>
    <w:rPr>
      <w:rFonts w:cs="Wingdings"/>
    </w:rPr>
  </w:style>
  <w:style w:type="character" w:styleId="ListLabel566">
    <w:name w:val="ListLabel 566"/>
    <w:qFormat/>
    <w:rPr>
      <w:rFonts w:cs="Symbol"/>
    </w:rPr>
  </w:style>
  <w:style w:type="character" w:styleId="ListLabel567">
    <w:name w:val="ListLabel 567"/>
    <w:qFormat/>
    <w:rPr>
      <w:rFonts w:cs="Courier New"/>
    </w:rPr>
  </w:style>
  <w:style w:type="character" w:styleId="ListLabel568">
    <w:name w:val="ListLabel 568"/>
    <w:qFormat/>
    <w:rPr>
      <w:rFonts w:cs="Wingdings"/>
    </w:rPr>
  </w:style>
  <w:style w:type="character" w:styleId="ListLabel569">
    <w:name w:val="ListLabel 569"/>
    <w:qFormat/>
    <w:rPr>
      <w:rFonts w:cs="Symbol"/>
    </w:rPr>
  </w:style>
  <w:style w:type="character" w:styleId="ListLabel570">
    <w:name w:val="ListLabel 570"/>
    <w:qFormat/>
    <w:rPr>
      <w:rFonts w:cs="Courier New"/>
    </w:rPr>
  </w:style>
  <w:style w:type="character" w:styleId="ListLabel571">
    <w:name w:val="ListLabel 571"/>
    <w:qFormat/>
    <w:rPr>
      <w:rFonts w:cs="Wingdings"/>
    </w:rPr>
  </w:style>
  <w:style w:type="character" w:styleId="ListLabel572">
    <w:name w:val="ListLabel 572"/>
    <w:qFormat/>
    <w:rPr>
      <w:rFonts w:ascii="Times New Roman" w:hAnsi="Times New Roman" w:cs="Symbol"/>
      <w:sz w:val="24"/>
    </w:rPr>
  </w:style>
  <w:style w:type="character" w:styleId="ListLabel573">
    <w:name w:val="ListLabel 573"/>
    <w:qFormat/>
    <w:rPr>
      <w:rFonts w:cs="Courier New"/>
    </w:rPr>
  </w:style>
  <w:style w:type="character" w:styleId="ListLabel574">
    <w:name w:val="ListLabel 574"/>
    <w:qFormat/>
    <w:rPr>
      <w:rFonts w:cs="Wingdings"/>
    </w:rPr>
  </w:style>
  <w:style w:type="character" w:styleId="ListLabel575">
    <w:name w:val="ListLabel 575"/>
    <w:qFormat/>
    <w:rPr>
      <w:rFonts w:cs="Symbol"/>
    </w:rPr>
  </w:style>
  <w:style w:type="character" w:styleId="ListLabel576">
    <w:name w:val="ListLabel 576"/>
    <w:qFormat/>
    <w:rPr>
      <w:rFonts w:cs="Courier New"/>
    </w:rPr>
  </w:style>
  <w:style w:type="character" w:styleId="ListLabel577">
    <w:name w:val="ListLabel 577"/>
    <w:qFormat/>
    <w:rPr>
      <w:rFonts w:cs="Wingdings"/>
    </w:rPr>
  </w:style>
  <w:style w:type="character" w:styleId="ListLabel578">
    <w:name w:val="ListLabel 578"/>
    <w:qFormat/>
    <w:rPr>
      <w:rFonts w:cs="Symbol"/>
    </w:rPr>
  </w:style>
  <w:style w:type="character" w:styleId="ListLabel579">
    <w:name w:val="ListLabel 579"/>
    <w:qFormat/>
    <w:rPr>
      <w:rFonts w:cs="Courier New"/>
    </w:rPr>
  </w:style>
  <w:style w:type="character" w:styleId="ListLabel580">
    <w:name w:val="ListLabel 580"/>
    <w:qFormat/>
    <w:rPr>
      <w:rFonts w:cs="Wingdings"/>
    </w:rPr>
  </w:style>
  <w:style w:type="character" w:styleId="ListLabel581">
    <w:name w:val="ListLabel 581"/>
    <w:qFormat/>
    <w:rPr>
      <w:rFonts w:ascii="Times New Roman" w:hAnsi="Times New Roman" w:cs="Symbol"/>
      <w:sz w:val="24"/>
    </w:rPr>
  </w:style>
  <w:style w:type="character" w:styleId="ListLabel582">
    <w:name w:val="ListLabel 582"/>
    <w:qFormat/>
    <w:rPr>
      <w:rFonts w:cs="Courier New"/>
    </w:rPr>
  </w:style>
  <w:style w:type="character" w:styleId="ListLabel583">
    <w:name w:val="ListLabel 583"/>
    <w:qFormat/>
    <w:rPr>
      <w:rFonts w:cs="Wingdings"/>
    </w:rPr>
  </w:style>
  <w:style w:type="character" w:styleId="ListLabel584">
    <w:name w:val="ListLabel 584"/>
    <w:qFormat/>
    <w:rPr>
      <w:rFonts w:cs="Symbol"/>
    </w:rPr>
  </w:style>
  <w:style w:type="character" w:styleId="ListLabel585">
    <w:name w:val="ListLabel 585"/>
    <w:qFormat/>
    <w:rPr>
      <w:rFonts w:cs="Courier New"/>
    </w:rPr>
  </w:style>
  <w:style w:type="character" w:styleId="ListLabel586">
    <w:name w:val="ListLabel 586"/>
    <w:qFormat/>
    <w:rPr>
      <w:rFonts w:cs="Wingdings"/>
    </w:rPr>
  </w:style>
  <w:style w:type="character" w:styleId="ListLabel587">
    <w:name w:val="ListLabel 587"/>
    <w:qFormat/>
    <w:rPr>
      <w:rFonts w:cs="Symbol"/>
    </w:rPr>
  </w:style>
  <w:style w:type="character" w:styleId="ListLabel588">
    <w:name w:val="ListLabel 588"/>
    <w:qFormat/>
    <w:rPr>
      <w:rFonts w:cs="Courier New"/>
    </w:rPr>
  </w:style>
  <w:style w:type="character" w:styleId="ListLabel589">
    <w:name w:val="ListLabel 589"/>
    <w:qFormat/>
    <w:rPr>
      <w:rFonts w:cs="Wingdings"/>
    </w:rPr>
  </w:style>
  <w:style w:type="character" w:styleId="ListLabel590">
    <w:name w:val="ListLabel 590"/>
    <w:qFormat/>
    <w:rPr>
      <w:rFonts w:cs="Symbol"/>
      <w:sz w:val="24"/>
    </w:rPr>
  </w:style>
  <w:style w:type="character" w:styleId="ListLabel591">
    <w:name w:val="ListLabel 591"/>
    <w:qFormat/>
    <w:rPr>
      <w:rFonts w:cs="Courier New"/>
    </w:rPr>
  </w:style>
  <w:style w:type="character" w:styleId="ListLabel592">
    <w:name w:val="ListLabel 592"/>
    <w:qFormat/>
    <w:rPr>
      <w:rFonts w:cs="Wingdings"/>
    </w:rPr>
  </w:style>
  <w:style w:type="character" w:styleId="ListLabel593">
    <w:name w:val="ListLabel 593"/>
    <w:qFormat/>
    <w:rPr>
      <w:rFonts w:cs="Symbol"/>
    </w:rPr>
  </w:style>
  <w:style w:type="character" w:styleId="ListLabel594">
    <w:name w:val="ListLabel 594"/>
    <w:qFormat/>
    <w:rPr>
      <w:rFonts w:cs="Courier New"/>
    </w:rPr>
  </w:style>
  <w:style w:type="character" w:styleId="ListLabel595">
    <w:name w:val="ListLabel 595"/>
    <w:qFormat/>
    <w:rPr>
      <w:rFonts w:cs="Wingdings"/>
    </w:rPr>
  </w:style>
  <w:style w:type="character" w:styleId="ListLabel596">
    <w:name w:val="ListLabel 596"/>
    <w:qFormat/>
    <w:rPr>
      <w:rFonts w:cs="Symbol"/>
    </w:rPr>
  </w:style>
  <w:style w:type="character" w:styleId="ListLabel597">
    <w:name w:val="ListLabel 597"/>
    <w:qFormat/>
    <w:rPr>
      <w:rFonts w:cs="Courier New"/>
    </w:rPr>
  </w:style>
  <w:style w:type="character" w:styleId="ListLabel598">
    <w:name w:val="ListLabel 598"/>
    <w:qFormat/>
    <w:rPr>
      <w:rFonts w:cs="Wingdings"/>
    </w:rPr>
  </w:style>
  <w:style w:type="character" w:styleId="ListLabel599">
    <w:name w:val="ListLabel 599"/>
    <w:qFormat/>
    <w:rPr>
      <w:rFonts w:ascii="Times New Roman" w:hAnsi="Times New Roman" w:cs="Times New Roman"/>
      <w:sz w:val="24"/>
    </w:rPr>
  </w:style>
  <w:style w:type="character" w:styleId="ListLabel600">
    <w:name w:val="ListLabel 600"/>
    <w:qFormat/>
    <w:rPr>
      <w:rFonts w:cs="Courier New"/>
    </w:rPr>
  </w:style>
  <w:style w:type="character" w:styleId="ListLabel601">
    <w:name w:val="ListLabel 601"/>
    <w:qFormat/>
    <w:rPr>
      <w:rFonts w:cs="Wingdings"/>
    </w:rPr>
  </w:style>
  <w:style w:type="character" w:styleId="ListLabel602">
    <w:name w:val="ListLabel 602"/>
    <w:qFormat/>
    <w:rPr>
      <w:rFonts w:cs="Symbol"/>
    </w:rPr>
  </w:style>
  <w:style w:type="character" w:styleId="ListLabel603">
    <w:name w:val="ListLabel 603"/>
    <w:qFormat/>
    <w:rPr>
      <w:rFonts w:cs="Courier New"/>
    </w:rPr>
  </w:style>
  <w:style w:type="character" w:styleId="ListLabel604">
    <w:name w:val="ListLabel 604"/>
    <w:qFormat/>
    <w:rPr>
      <w:rFonts w:cs="Wingdings"/>
    </w:rPr>
  </w:style>
  <w:style w:type="character" w:styleId="ListLabel605">
    <w:name w:val="ListLabel 605"/>
    <w:qFormat/>
    <w:rPr>
      <w:rFonts w:cs="Symbol"/>
    </w:rPr>
  </w:style>
  <w:style w:type="character" w:styleId="ListLabel606">
    <w:name w:val="ListLabel 606"/>
    <w:qFormat/>
    <w:rPr>
      <w:rFonts w:cs="Courier New"/>
    </w:rPr>
  </w:style>
  <w:style w:type="character" w:styleId="ListLabel607">
    <w:name w:val="ListLabel 607"/>
    <w:qFormat/>
    <w:rPr>
      <w:rFonts w:cs="Wingdings"/>
    </w:rPr>
  </w:style>
  <w:style w:type="character" w:styleId="ListLabel608">
    <w:name w:val="ListLabel 608"/>
    <w:qFormat/>
    <w:rPr>
      <w:rFonts w:ascii="Times New Roman" w:hAnsi="Times New Roman" w:cs="Wingdings"/>
      <w:sz w:val="24"/>
      <w:szCs w:val="28"/>
    </w:rPr>
  </w:style>
  <w:style w:type="character" w:styleId="ListLabel609">
    <w:name w:val="ListLabel 609"/>
    <w:qFormat/>
    <w:rPr>
      <w:rFonts w:cs="Wingdings"/>
      <w:sz w:val="28"/>
      <w:szCs w:val="28"/>
    </w:rPr>
  </w:style>
  <w:style w:type="character" w:styleId="ListLabel610">
    <w:name w:val="ListLabel 610"/>
    <w:qFormat/>
    <w:rPr>
      <w:rFonts w:cs="Wingdings"/>
      <w:sz w:val="28"/>
      <w:szCs w:val="28"/>
    </w:rPr>
  </w:style>
  <w:style w:type="character" w:styleId="ListLabel611">
    <w:name w:val="ListLabel 611"/>
    <w:qFormat/>
    <w:rPr>
      <w:rFonts w:cs="Wingdings"/>
      <w:sz w:val="28"/>
      <w:szCs w:val="28"/>
    </w:rPr>
  </w:style>
  <w:style w:type="character" w:styleId="ListLabel612">
    <w:name w:val="ListLabel 612"/>
    <w:qFormat/>
    <w:rPr>
      <w:rFonts w:cs="Wingdings"/>
      <w:sz w:val="28"/>
      <w:szCs w:val="28"/>
    </w:rPr>
  </w:style>
  <w:style w:type="character" w:styleId="ListLabel613">
    <w:name w:val="ListLabel 613"/>
    <w:qFormat/>
    <w:rPr>
      <w:rFonts w:cs="Wingdings"/>
      <w:sz w:val="28"/>
      <w:szCs w:val="28"/>
    </w:rPr>
  </w:style>
  <w:style w:type="character" w:styleId="ListLabel614">
    <w:name w:val="ListLabel 614"/>
    <w:qFormat/>
    <w:rPr>
      <w:rFonts w:cs="Wingdings"/>
      <w:sz w:val="28"/>
      <w:szCs w:val="28"/>
    </w:rPr>
  </w:style>
  <w:style w:type="character" w:styleId="ListLabel615">
    <w:name w:val="ListLabel 615"/>
    <w:qFormat/>
    <w:rPr>
      <w:rFonts w:cs="Wingdings"/>
      <w:sz w:val="28"/>
      <w:szCs w:val="28"/>
    </w:rPr>
  </w:style>
  <w:style w:type="character" w:styleId="ListLabel616">
    <w:name w:val="ListLabel 616"/>
    <w:qFormat/>
    <w:rPr>
      <w:rFonts w:cs="Wingdings"/>
      <w:sz w:val="28"/>
      <w:szCs w:val="28"/>
    </w:rPr>
  </w:style>
  <w:style w:type="character" w:styleId="ListLabel617">
    <w:name w:val="ListLabel 617"/>
    <w:qFormat/>
    <w:rPr>
      <w:rFonts w:ascii="Times New Roman" w:hAnsi="Times New Roman" w:cs="Symbol"/>
      <w:sz w:val="24"/>
    </w:rPr>
  </w:style>
  <w:style w:type="character" w:styleId="ListLabel618">
    <w:name w:val="ListLabel 618"/>
    <w:qFormat/>
    <w:rPr>
      <w:rFonts w:cs="Courier New"/>
    </w:rPr>
  </w:style>
  <w:style w:type="character" w:styleId="ListLabel619">
    <w:name w:val="ListLabel 619"/>
    <w:qFormat/>
    <w:rPr>
      <w:rFonts w:cs="Wingdings"/>
    </w:rPr>
  </w:style>
  <w:style w:type="character" w:styleId="ListLabel620">
    <w:name w:val="ListLabel 620"/>
    <w:qFormat/>
    <w:rPr>
      <w:rFonts w:cs="Symbol"/>
    </w:rPr>
  </w:style>
  <w:style w:type="character" w:styleId="ListLabel621">
    <w:name w:val="ListLabel 621"/>
    <w:qFormat/>
    <w:rPr>
      <w:rFonts w:cs="Courier New"/>
    </w:rPr>
  </w:style>
  <w:style w:type="character" w:styleId="ListLabel622">
    <w:name w:val="ListLabel 622"/>
    <w:qFormat/>
    <w:rPr>
      <w:rFonts w:cs="Wingdings"/>
    </w:rPr>
  </w:style>
  <w:style w:type="character" w:styleId="ListLabel623">
    <w:name w:val="ListLabel 623"/>
    <w:qFormat/>
    <w:rPr>
      <w:rFonts w:cs="Symbol"/>
    </w:rPr>
  </w:style>
  <w:style w:type="character" w:styleId="ListLabel624">
    <w:name w:val="ListLabel 624"/>
    <w:qFormat/>
    <w:rPr>
      <w:rFonts w:cs="Courier New"/>
    </w:rPr>
  </w:style>
  <w:style w:type="character" w:styleId="ListLabel625">
    <w:name w:val="ListLabel 625"/>
    <w:qFormat/>
    <w:rPr>
      <w:rFonts w:cs="Wingdings"/>
    </w:rPr>
  </w:style>
  <w:style w:type="character" w:styleId="ListLabel626">
    <w:name w:val="ListLabel 626"/>
    <w:qFormat/>
    <w:rPr>
      <w:rFonts w:ascii="Times New Roman" w:hAnsi="Times New Roman" w:cs="Wingdings"/>
      <w:sz w:val="24"/>
    </w:rPr>
  </w:style>
  <w:style w:type="character" w:styleId="ListLabel627">
    <w:name w:val="ListLabel 627"/>
    <w:qFormat/>
    <w:rPr>
      <w:rFonts w:cs="Courier New"/>
    </w:rPr>
  </w:style>
  <w:style w:type="character" w:styleId="ListLabel628">
    <w:name w:val="ListLabel 628"/>
    <w:qFormat/>
    <w:rPr>
      <w:rFonts w:cs="Wingdings"/>
    </w:rPr>
  </w:style>
  <w:style w:type="character" w:styleId="ListLabel629">
    <w:name w:val="ListLabel 629"/>
    <w:qFormat/>
    <w:rPr>
      <w:rFonts w:cs="Symbol"/>
    </w:rPr>
  </w:style>
  <w:style w:type="character" w:styleId="ListLabel630">
    <w:name w:val="ListLabel 630"/>
    <w:qFormat/>
    <w:rPr>
      <w:rFonts w:cs="Courier New"/>
    </w:rPr>
  </w:style>
  <w:style w:type="character" w:styleId="ListLabel631">
    <w:name w:val="ListLabel 631"/>
    <w:qFormat/>
    <w:rPr>
      <w:rFonts w:cs="Wingdings"/>
    </w:rPr>
  </w:style>
  <w:style w:type="character" w:styleId="ListLabel632">
    <w:name w:val="ListLabel 632"/>
    <w:qFormat/>
    <w:rPr>
      <w:rFonts w:cs="Symbol"/>
    </w:rPr>
  </w:style>
  <w:style w:type="character" w:styleId="ListLabel633">
    <w:name w:val="ListLabel 633"/>
    <w:qFormat/>
    <w:rPr>
      <w:rFonts w:cs="Courier New"/>
    </w:rPr>
  </w:style>
  <w:style w:type="character" w:styleId="ListLabel634">
    <w:name w:val="ListLabel 634"/>
    <w:qFormat/>
    <w:rPr>
      <w:rFonts w:cs="Wingdings"/>
    </w:rPr>
  </w:style>
  <w:style w:type="character" w:styleId="ListLabel635">
    <w:name w:val="ListLabel 635"/>
    <w:qFormat/>
    <w:rPr>
      <w:rFonts w:ascii="Times New Roman" w:hAnsi="Times New Roman" w:cs="Symbol"/>
      <w:sz w:val="24"/>
    </w:rPr>
  </w:style>
  <w:style w:type="character" w:styleId="ListLabel636">
    <w:name w:val="ListLabel 636"/>
    <w:qFormat/>
    <w:rPr>
      <w:rFonts w:ascii="Times New Roman" w:hAnsi="Times New Roman" w:cs="Symbol"/>
      <w:sz w:val="24"/>
    </w:rPr>
  </w:style>
  <w:style w:type="character" w:styleId="ListLabel637">
    <w:name w:val="ListLabel 637"/>
    <w:qFormat/>
    <w:rPr>
      <w:rFonts w:cs="Courier New"/>
    </w:rPr>
  </w:style>
  <w:style w:type="character" w:styleId="ListLabel638">
    <w:name w:val="ListLabel 638"/>
    <w:qFormat/>
    <w:rPr>
      <w:rFonts w:cs="Wingdings"/>
    </w:rPr>
  </w:style>
  <w:style w:type="character" w:styleId="ListLabel639">
    <w:name w:val="ListLabel 639"/>
    <w:qFormat/>
    <w:rPr>
      <w:rFonts w:cs="Symbol"/>
    </w:rPr>
  </w:style>
  <w:style w:type="character" w:styleId="ListLabel640">
    <w:name w:val="ListLabel 640"/>
    <w:qFormat/>
    <w:rPr>
      <w:rFonts w:cs="Courier New"/>
    </w:rPr>
  </w:style>
  <w:style w:type="character" w:styleId="ListLabel641">
    <w:name w:val="ListLabel 641"/>
    <w:qFormat/>
    <w:rPr>
      <w:rFonts w:cs="Wingdings"/>
    </w:rPr>
  </w:style>
  <w:style w:type="character" w:styleId="ListLabel642">
    <w:name w:val="ListLabel 642"/>
    <w:qFormat/>
    <w:rPr>
      <w:rFonts w:cs="Symbol"/>
    </w:rPr>
  </w:style>
  <w:style w:type="character" w:styleId="ListLabel643">
    <w:name w:val="ListLabel 643"/>
    <w:qFormat/>
    <w:rPr>
      <w:rFonts w:cs="Courier New"/>
    </w:rPr>
  </w:style>
  <w:style w:type="character" w:styleId="ListLabel644">
    <w:name w:val="ListLabel 644"/>
    <w:qFormat/>
    <w:rPr>
      <w:rFonts w:cs="Wingdings"/>
    </w:rPr>
  </w:style>
  <w:style w:type="character" w:styleId="ListLabel645">
    <w:name w:val="ListLabel 645"/>
    <w:qFormat/>
    <w:rPr>
      <w:rFonts w:cs="Times New Roman"/>
      <w:b/>
      <w:bCs/>
      <w:i w:val="false"/>
      <w:iCs w:val="false"/>
      <w:sz w:val="24"/>
      <w:szCs w:val="24"/>
    </w:rPr>
  </w:style>
  <w:style w:type="character" w:styleId="ListLabel646">
    <w:name w:val="ListLabel 646"/>
    <w:qFormat/>
    <w:rPr>
      <w:rFonts w:cs="Times New Roman"/>
      <w:b/>
      <w:bCs/>
      <w:i w:val="false"/>
      <w:iCs w:val="false"/>
      <w:sz w:val="22"/>
      <w:szCs w:val="22"/>
    </w:rPr>
  </w:style>
  <w:style w:type="character" w:styleId="ListLabel647">
    <w:name w:val="ListLabel 647"/>
    <w:qFormat/>
    <w:rPr>
      <w:rFonts w:cs="Times New Roman"/>
    </w:rPr>
  </w:style>
  <w:style w:type="character" w:styleId="ListLabel648">
    <w:name w:val="ListLabel 648"/>
    <w:qFormat/>
    <w:rPr>
      <w:rFonts w:cs="Times New Roman"/>
    </w:rPr>
  </w:style>
  <w:style w:type="character" w:styleId="ListLabel649">
    <w:name w:val="ListLabel 649"/>
    <w:qFormat/>
    <w:rPr>
      <w:rFonts w:cs="Times New Roman"/>
    </w:rPr>
  </w:style>
  <w:style w:type="character" w:styleId="ListLabel650">
    <w:name w:val="ListLabel 650"/>
    <w:qFormat/>
    <w:rPr>
      <w:rFonts w:cs="Times New Roman"/>
    </w:rPr>
  </w:style>
  <w:style w:type="character" w:styleId="ListLabel651">
    <w:name w:val="ListLabel 651"/>
    <w:qFormat/>
    <w:rPr>
      <w:rFonts w:cs="Times New Roman"/>
    </w:rPr>
  </w:style>
  <w:style w:type="character" w:styleId="ListLabel652">
    <w:name w:val="ListLabel 652"/>
    <w:qFormat/>
    <w:rPr>
      <w:rFonts w:cs="Times New Roman"/>
    </w:rPr>
  </w:style>
  <w:style w:type="character" w:styleId="ListLabel653">
    <w:name w:val="ListLabel 653"/>
    <w:qFormat/>
    <w:rPr>
      <w:rFonts w:cs="Times New Roman"/>
    </w:rPr>
  </w:style>
  <w:style w:type="character" w:styleId="ListLabel654">
    <w:name w:val="ListLabel 654"/>
    <w:qFormat/>
    <w:rPr>
      <w:rFonts w:ascii="Times New Roman" w:hAnsi="Times New Roman" w:cs="Arial"/>
      <w:b/>
      <w:color w:val="0D0D0D"/>
      <w:sz w:val="24"/>
    </w:rPr>
  </w:style>
  <w:style w:type="character" w:styleId="ListLabel655">
    <w:name w:val="ListLabel 655"/>
    <w:qFormat/>
    <w:rPr>
      <w:rFonts w:cs="Times New Roman"/>
    </w:rPr>
  </w:style>
  <w:style w:type="character" w:styleId="ListLabel656">
    <w:name w:val="ListLabel 656"/>
    <w:qFormat/>
    <w:rPr>
      <w:rFonts w:cs="Times New Roman"/>
    </w:rPr>
  </w:style>
  <w:style w:type="character" w:styleId="ListLabel657">
    <w:name w:val="ListLabel 657"/>
    <w:qFormat/>
    <w:rPr>
      <w:rFonts w:cs="Times New Roman"/>
    </w:rPr>
  </w:style>
  <w:style w:type="character" w:styleId="ListLabel658">
    <w:name w:val="ListLabel 658"/>
    <w:qFormat/>
    <w:rPr>
      <w:rFonts w:cs="Times New Roman"/>
    </w:rPr>
  </w:style>
  <w:style w:type="character" w:styleId="ListLabel659">
    <w:name w:val="ListLabel 659"/>
    <w:qFormat/>
    <w:rPr>
      <w:rFonts w:cs="Times New Roman"/>
    </w:rPr>
  </w:style>
  <w:style w:type="character" w:styleId="ListLabel660">
    <w:name w:val="ListLabel 660"/>
    <w:qFormat/>
    <w:rPr>
      <w:rFonts w:cs="Times New Roman"/>
    </w:rPr>
  </w:style>
  <w:style w:type="character" w:styleId="ListLabel661">
    <w:name w:val="ListLabel 661"/>
    <w:qFormat/>
    <w:rPr>
      <w:rFonts w:cs="Times New Roman"/>
    </w:rPr>
  </w:style>
  <w:style w:type="character" w:styleId="ListLabel662">
    <w:name w:val="ListLabel 662"/>
    <w:qFormat/>
    <w:rPr>
      <w:rFonts w:cs="Times New Roman"/>
    </w:rPr>
  </w:style>
  <w:style w:type="character" w:styleId="ListLabel663">
    <w:name w:val="ListLabel 663"/>
    <w:qFormat/>
    <w:rPr>
      <w:rFonts w:ascii="Times New Roman" w:hAnsi="Times New Roman" w:cs="Symbol"/>
      <w:sz w:val="24"/>
    </w:rPr>
  </w:style>
  <w:style w:type="character" w:styleId="ListLabel664">
    <w:name w:val="ListLabel 664"/>
    <w:qFormat/>
    <w:rPr>
      <w:rFonts w:cs="Courier New"/>
    </w:rPr>
  </w:style>
  <w:style w:type="character" w:styleId="ListLabel665">
    <w:name w:val="ListLabel 665"/>
    <w:qFormat/>
    <w:rPr>
      <w:rFonts w:cs="Wingdings"/>
    </w:rPr>
  </w:style>
  <w:style w:type="character" w:styleId="ListLabel666">
    <w:name w:val="ListLabel 666"/>
    <w:qFormat/>
    <w:rPr>
      <w:rFonts w:cs="Symbol"/>
    </w:rPr>
  </w:style>
  <w:style w:type="character" w:styleId="ListLabel667">
    <w:name w:val="ListLabel 667"/>
    <w:qFormat/>
    <w:rPr>
      <w:rFonts w:cs="Courier New"/>
    </w:rPr>
  </w:style>
  <w:style w:type="character" w:styleId="ListLabel668">
    <w:name w:val="ListLabel 668"/>
    <w:qFormat/>
    <w:rPr>
      <w:rFonts w:cs="Wingdings"/>
    </w:rPr>
  </w:style>
  <w:style w:type="character" w:styleId="ListLabel669">
    <w:name w:val="ListLabel 669"/>
    <w:qFormat/>
    <w:rPr>
      <w:rFonts w:cs="Symbol"/>
    </w:rPr>
  </w:style>
  <w:style w:type="character" w:styleId="ListLabel670">
    <w:name w:val="ListLabel 670"/>
    <w:qFormat/>
    <w:rPr>
      <w:rFonts w:cs="Courier New"/>
    </w:rPr>
  </w:style>
  <w:style w:type="character" w:styleId="ListLabel671">
    <w:name w:val="ListLabel 671"/>
    <w:qFormat/>
    <w:rPr>
      <w:rFonts w:cs="Wingdings"/>
    </w:rPr>
  </w:style>
  <w:style w:type="character" w:styleId="ListLabel672">
    <w:name w:val="ListLabel 672"/>
    <w:qFormat/>
    <w:rPr>
      <w:rFonts w:ascii="Times New Roman" w:hAnsi="Times New Roman" w:cs="Symbol"/>
      <w:sz w:val="24"/>
    </w:rPr>
  </w:style>
  <w:style w:type="character" w:styleId="ListLabel673">
    <w:name w:val="ListLabel 673"/>
    <w:qFormat/>
    <w:rPr>
      <w:rFonts w:cs="Courier New"/>
    </w:rPr>
  </w:style>
  <w:style w:type="character" w:styleId="ListLabel674">
    <w:name w:val="ListLabel 674"/>
    <w:qFormat/>
    <w:rPr>
      <w:rFonts w:cs="Wingdings"/>
    </w:rPr>
  </w:style>
  <w:style w:type="character" w:styleId="ListLabel675">
    <w:name w:val="ListLabel 675"/>
    <w:qFormat/>
    <w:rPr>
      <w:rFonts w:cs="Symbol"/>
    </w:rPr>
  </w:style>
  <w:style w:type="character" w:styleId="ListLabel676">
    <w:name w:val="ListLabel 676"/>
    <w:qFormat/>
    <w:rPr>
      <w:rFonts w:cs="Courier New"/>
    </w:rPr>
  </w:style>
  <w:style w:type="character" w:styleId="ListLabel677">
    <w:name w:val="ListLabel 677"/>
    <w:qFormat/>
    <w:rPr>
      <w:rFonts w:cs="Wingdings"/>
    </w:rPr>
  </w:style>
  <w:style w:type="character" w:styleId="ListLabel678">
    <w:name w:val="ListLabel 678"/>
    <w:qFormat/>
    <w:rPr>
      <w:rFonts w:cs="Symbol"/>
    </w:rPr>
  </w:style>
  <w:style w:type="character" w:styleId="ListLabel679">
    <w:name w:val="ListLabel 679"/>
    <w:qFormat/>
    <w:rPr>
      <w:rFonts w:cs="Courier New"/>
    </w:rPr>
  </w:style>
  <w:style w:type="character" w:styleId="ListLabel680">
    <w:name w:val="ListLabel 680"/>
    <w:qFormat/>
    <w:rPr>
      <w:rFonts w:cs="Wingdings"/>
    </w:rPr>
  </w:style>
  <w:style w:type="character" w:styleId="ListLabel681">
    <w:name w:val="ListLabel 681"/>
    <w:qFormat/>
    <w:rPr>
      <w:rFonts w:ascii="Times New Roman" w:hAnsi="Times New Roman" w:cs="Symbol"/>
      <w:sz w:val="24"/>
    </w:rPr>
  </w:style>
  <w:style w:type="character" w:styleId="ListLabel682">
    <w:name w:val="ListLabel 682"/>
    <w:qFormat/>
    <w:rPr>
      <w:rFonts w:cs="Courier New"/>
    </w:rPr>
  </w:style>
  <w:style w:type="character" w:styleId="ListLabel683">
    <w:name w:val="ListLabel 683"/>
    <w:qFormat/>
    <w:rPr>
      <w:rFonts w:cs="Wingdings"/>
    </w:rPr>
  </w:style>
  <w:style w:type="character" w:styleId="ListLabel684">
    <w:name w:val="ListLabel 684"/>
    <w:qFormat/>
    <w:rPr>
      <w:rFonts w:cs="Symbol"/>
    </w:rPr>
  </w:style>
  <w:style w:type="character" w:styleId="ListLabel685">
    <w:name w:val="ListLabel 685"/>
    <w:qFormat/>
    <w:rPr>
      <w:rFonts w:cs="Courier New"/>
    </w:rPr>
  </w:style>
  <w:style w:type="character" w:styleId="ListLabel686">
    <w:name w:val="ListLabel 686"/>
    <w:qFormat/>
    <w:rPr>
      <w:rFonts w:cs="Wingdings"/>
    </w:rPr>
  </w:style>
  <w:style w:type="character" w:styleId="ListLabel687">
    <w:name w:val="ListLabel 687"/>
    <w:qFormat/>
    <w:rPr>
      <w:rFonts w:cs="Symbol"/>
    </w:rPr>
  </w:style>
  <w:style w:type="character" w:styleId="ListLabel688">
    <w:name w:val="ListLabel 688"/>
    <w:qFormat/>
    <w:rPr>
      <w:rFonts w:cs="Courier New"/>
    </w:rPr>
  </w:style>
  <w:style w:type="character" w:styleId="ListLabel689">
    <w:name w:val="ListLabel 689"/>
    <w:qFormat/>
    <w:rPr>
      <w:rFonts w:cs="Wingdings"/>
    </w:rPr>
  </w:style>
  <w:style w:type="character" w:styleId="ListLabel690">
    <w:name w:val="ListLabel 690"/>
    <w:qFormat/>
    <w:rPr>
      <w:rFonts w:ascii="Times New Roman" w:hAnsi="Times New Roman" w:cs="Symbol"/>
      <w:sz w:val="24"/>
    </w:rPr>
  </w:style>
  <w:style w:type="character" w:styleId="ListLabel691">
    <w:name w:val="ListLabel 691"/>
    <w:qFormat/>
    <w:rPr>
      <w:rFonts w:cs="Courier New"/>
    </w:rPr>
  </w:style>
  <w:style w:type="character" w:styleId="ListLabel692">
    <w:name w:val="ListLabel 692"/>
    <w:qFormat/>
    <w:rPr>
      <w:rFonts w:cs="Wingdings"/>
    </w:rPr>
  </w:style>
  <w:style w:type="character" w:styleId="ListLabel693">
    <w:name w:val="ListLabel 693"/>
    <w:qFormat/>
    <w:rPr>
      <w:rFonts w:cs="Symbol"/>
    </w:rPr>
  </w:style>
  <w:style w:type="character" w:styleId="ListLabel694">
    <w:name w:val="ListLabel 694"/>
    <w:qFormat/>
    <w:rPr>
      <w:rFonts w:cs="Courier New"/>
    </w:rPr>
  </w:style>
  <w:style w:type="character" w:styleId="ListLabel695">
    <w:name w:val="ListLabel 695"/>
    <w:qFormat/>
    <w:rPr>
      <w:rFonts w:cs="Wingdings"/>
    </w:rPr>
  </w:style>
  <w:style w:type="character" w:styleId="ListLabel696">
    <w:name w:val="ListLabel 696"/>
    <w:qFormat/>
    <w:rPr>
      <w:rFonts w:cs="Symbol"/>
    </w:rPr>
  </w:style>
  <w:style w:type="character" w:styleId="ListLabel697">
    <w:name w:val="ListLabel 697"/>
    <w:qFormat/>
    <w:rPr>
      <w:rFonts w:cs="Courier New"/>
    </w:rPr>
  </w:style>
  <w:style w:type="character" w:styleId="ListLabel698">
    <w:name w:val="ListLabel 698"/>
    <w:qFormat/>
    <w:rPr>
      <w:rFonts w:cs="Wingdings"/>
    </w:rPr>
  </w:style>
  <w:style w:type="character" w:styleId="ListLabel699">
    <w:name w:val="ListLabel 699"/>
    <w:qFormat/>
    <w:rPr>
      <w:rFonts w:ascii="Times New Roman" w:hAnsi="Times New Roman" w:cs="Symbol"/>
      <w:sz w:val="24"/>
    </w:rPr>
  </w:style>
  <w:style w:type="character" w:styleId="ListLabel700">
    <w:name w:val="ListLabel 700"/>
    <w:qFormat/>
    <w:rPr>
      <w:rFonts w:cs="Courier New"/>
    </w:rPr>
  </w:style>
  <w:style w:type="character" w:styleId="ListLabel701">
    <w:name w:val="ListLabel 701"/>
    <w:qFormat/>
    <w:rPr>
      <w:rFonts w:cs="Wingdings"/>
    </w:rPr>
  </w:style>
  <w:style w:type="character" w:styleId="ListLabel702">
    <w:name w:val="ListLabel 702"/>
    <w:qFormat/>
    <w:rPr>
      <w:rFonts w:cs="Symbol"/>
    </w:rPr>
  </w:style>
  <w:style w:type="character" w:styleId="ListLabel703">
    <w:name w:val="ListLabel 703"/>
    <w:qFormat/>
    <w:rPr>
      <w:rFonts w:cs="Courier New"/>
    </w:rPr>
  </w:style>
  <w:style w:type="character" w:styleId="ListLabel704">
    <w:name w:val="ListLabel 704"/>
    <w:qFormat/>
    <w:rPr>
      <w:rFonts w:cs="Wingdings"/>
    </w:rPr>
  </w:style>
  <w:style w:type="character" w:styleId="ListLabel705">
    <w:name w:val="ListLabel 705"/>
    <w:qFormat/>
    <w:rPr>
      <w:rFonts w:cs="Symbol"/>
    </w:rPr>
  </w:style>
  <w:style w:type="character" w:styleId="ListLabel706">
    <w:name w:val="ListLabel 706"/>
    <w:qFormat/>
    <w:rPr>
      <w:rFonts w:cs="Courier New"/>
    </w:rPr>
  </w:style>
  <w:style w:type="character" w:styleId="ListLabel707">
    <w:name w:val="ListLabel 707"/>
    <w:qFormat/>
    <w:rPr>
      <w:rFonts w:cs="Wingdings"/>
    </w:rPr>
  </w:style>
  <w:style w:type="character" w:styleId="ListLabel708">
    <w:name w:val="ListLabel 708"/>
    <w:qFormat/>
    <w:rPr>
      <w:rFonts w:cs="Symbol"/>
      <w:sz w:val="24"/>
    </w:rPr>
  </w:style>
  <w:style w:type="character" w:styleId="ListLabel709">
    <w:name w:val="ListLabel 709"/>
    <w:qFormat/>
    <w:rPr>
      <w:rFonts w:cs="Courier New"/>
    </w:rPr>
  </w:style>
  <w:style w:type="character" w:styleId="ListLabel710">
    <w:name w:val="ListLabel 710"/>
    <w:qFormat/>
    <w:rPr>
      <w:rFonts w:cs="Wingdings"/>
    </w:rPr>
  </w:style>
  <w:style w:type="character" w:styleId="ListLabel711">
    <w:name w:val="ListLabel 711"/>
    <w:qFormat/>
    <w:rPr>
      <w:rFonts w:cs="Symbol"/>
    </w:rPr>
  </w:style>
  <w:style w:type="character" w:styleId="ListLabel712">
    <w:name w:val="ListLabel 712"/>
    <w:qFormat/>
    <w:rPr>
      <w:rFonts w:cs="Courier New"/>
    </w:rPr>
  </w:style>
  <w:style w:type="character" w:styleId="ListLabel713">
    <w:name w:val="ListLabel 713"/>
    <w:qFormat/>
    <w:rPr>
      <w:rFonts w:cs="Wingdings"/>
    </w:rPr>
  </w:style>
  <w:style w:type="character" w:styleId="ListLabel714">
    <w:name w:val="ListLabel 714"/>
    <w:qFormat/>
    <w:rPr>
      <w:rFonts w:cs="Symbol"/>
    </w:rPr>
  </w:style>
  <w:style w:type="character" w:styleId="ListLabel715">
    <w:name w:val="ListLabel 715"/>
    <w:qFormat/>
    <w:rPr>
      <w:rFonts w:cs="Courier New"/>
    </w:rPr>
  </w:style>
  <w:style w:type="character" w:styleId="ListLabel716">
    <w:name w:val="ListLabel 716"/>
    <w:qFormat/>
    <w:rPr>
      <w:rFonts w:cs="Wingdings"/>
    </w:rPr>
  </w:style>
  <w:style w:type="character" w:styleId="ListLabel717">
    <w:name w:val="ListLabel 717"/>
    <w:qFormat/>
    <w:rPr>
      <w:rFonts w:ascii="Times New Roman" w:hAnsi="Times New Roman" w:cs="Times New Roman"/>
      <w:sz w:val="24"/>
    </w:rPr>
  </w:style>
  <w:style w:type="character" w:styleId="ListLabel718">
    <w:name w:val="ListLabel 718"/>
    <w:qFormat/>
    <w:rPr>
      <w:rFonts w:cs="Courier New"/>
    </w:rPr>
  </w:style>
  <w:style w:type="character" w:styleId="ListLabel719">
    <w:name w:val="ListLabel 719"/>
    <w:qFormat/>
    <w:rPr>
      <w:rFonts w:cs="Wingdings"/>
    </w:rPr>
  </w:style>
  <w:style w:type="character" w:styleId="ListLabel720">
    <w:name w:val="ListLabel 720"/>
    <w:qFormat/>
    <w:rPr>
      <w:rFonts w:cs="Symbol"/>
    </w:rPr>
  </w:style>
  <w:style w:type="character" w:styleId="ListLabel721">
    <w:name w:val="ListLabel 721"/>
    <w:qFormat/>
    <w:rPr>
      <w:rFonts w:cs="Courier New"/>
    </w:rPr>
  </w:style>
  <w:style w:type="character" w:styleId="ListLabel722">
    <w:name w:val="ListLabel 722"/>
    <w:qFormat/>
    <w:rPr>
      <w:rFonts w:cs="Wingdings"/>
    </w:rPr>
  </w:style>
  <w:style w:type="character" w:styleId="ListLabel723">
    <w:name w:val="ListLabel 723"/>
    <w:qFormat/>
    <w:rPr>
      <w:rFonts w:cs="Symbol"/>
    </w:rPr>
  </w:style>
  <w:style w:type="character" w:styleId="ListLabel724">
    <w:name w:val="ListLabel 724"/>
    <w:qFormat/>
    <w:rPr>
      <w:rFonts w:cs="Courier New"/>
    </w:rPr>
  </w:style>
  <w:style w:type="character" w:styleId="ListLabel725">
    <w:name w:val="ListLabel 725"/>
    <w:qFormat/>
    <w:rPr>
      <w:rFonts w:cs="Wingdings"/>
    </w:rPr>
  </w:style>
  <w:style w:type="character" w:styleId="ListLabel726">
    <w:name w:val="ListLabel 726"/>
    <w:qFormat/>
    <w:rPr>
      <w:rFonts w:ascii="Times New Roman" w:hAnsi="Times New Roman" w:cs="Wingdings"/>
      <w:sz w:val="24"/>
      <w:szCs w:val="28"/>
    </w:rPr>
  </w:style>
  <w:style w:type="character" w:styleId="ListLabel727">
    <w:name w:val="ListLabel 727"/>
    <w:qFormat/>
    <w:rPr>
      <w:rFonts w:cs="Wingdings"/>
      <w:sz w:val="28"/>
      <w:szCs w:val="28"/>
    </w:rPr>
  </w:style>
  <w:style w:type="character" w:styleId="ListLabel728">
    <w:name w:val="ListLabel 728"/>
    <w:qFormat/>
    <w:rPr>
      <w:rFonts w:cs="Wingdings"/>
      <w:sz w:val="28"/>
      <w:szCs w:val="28"/>
    </w:rPr>
  </w:style>
  <w:style w:type="character" w:styleId="ListLabel729">
    <w:name w:val="ListLabel 729"/>
    <w:qFormat/>
    <w:rPr>
      <w:rFonts w:cs="Wingdings"/>
      <w:sz w:val="28"/>
      <w:szCs w:val="28"/>
    </w:rPr>
  </w:style>
  <w:style w:type="character" w:styleId="ListLabel730">
    <w:name w:val="ListLabel 730"/>
    <w:qFormat/>
    <w:rPr>
      <w:rFonts w:cs="Wingdings"/>
      <w:sz w:val="28"/>
      <w:szCs w:val="28"/>
    </w:rPr>
  </w:style>
  <w:style w:type="character" w:styleId="ListLabel731">
    <w:name w:val="ListLabel 731"/>
    <w:qFormat/>
    <w:rPr>
      <w:rFonts w:cs="Wingdings"/>
      <w:sz w:val="28"/>
      <w:szCs w:val="28"/>
    </w:rPr>
  </w:style>
  <w:style w:type="character" w:styleId="ListLabel732">
    <w:name w:val="ListLabel 732"/>
    <w:qFormat/>
    <w:rPr>
      <w:rFonts w:cs="Wingdings"/>
      <w:sz w:val="28"/>
      <w:szCs w:val="28"/>
    </w:rPr>
  </w:style>
  <w:style w:type="character" w:styleId="ListLabel733">
    <w:name w:val="ListLabel 733"/>
    <w:qFormat/>
    <w:rPr>
      <w:rFonts w:cs="Wingdings"/>
      <w:sz w:val="28"/>
      <w:szCs w:val="28"/>
    </w:rPr>
  </w:style>
  <w:style w:type="character" w:styleId="ListLabel734">
    <w:name w:val="ListLabel 734"/>
    <w:qFormat/>
    <w:rPr>
      <w:rFonts w:cs="Wingdings"/>
      <w:sz w:val="28"/>
      <w:szCs w:val="28"/>
    </w:rPr>
  </w:style>
  <w:style w:type="character" w:styleId="ListLabel735">
    <w:name w:val="ListLabel 735"/>
    <w:qFormat/>
    <w:rPr>
      <w:rFonts w:ascii="Times New Roman" w:hAnsi="Times New Roman" w:cs="Symbol"/>
      <w:sz w:val="24"/>
    </w:rPr>
  </w:style>
  <w:style w:type="character" w:styleId="ListLabel736">
    <w:name w:val="ListLabel 736"/>
    <w:qFormat/>
    <w:rPr>
      <w:rFonts w:cs="Courier New"/>
    </w:rPr>
  </w:style>
  <w:style w:type="character" w:styleId="ListLabel737">
    <w:name w:val="ListLabel 737"/>
    <w:qFormat/>
    <w:rPr>
      <w:rFonts w:cs="Wingdings"/>
    </w:rPr>
  </w:style>
  <w:style w:type="character" w:styleId="ListLabel738">
    <w:name w:val="ListLabel 738"/>
    <w:qFormat/>
    <w:rPr>
      <w:rFonts w:cs="Symbol"/>
    </w:rPr>
  </w:style>
  <w:style w:type="character" w:styleId="ListLabel739">
    <w:name w:val="ListLabel 739"/>
    <w:qFormat/>
    <w:rPr>
      <w:rFonts w:cs="Courier New"/>
    </w:rPr>
  </w:style>
  <w:style w:type="character" w:styleId="ListLabel740">
    <w:name w:val="ListLabel 740"/>
    <w:qFormat/>
    <w:rPr>
      <w:rFonts w:cs="Wingdings"/>
    </w:rPr>
  </w:style>
  <w:style w:type="character" w:styleId="ListLabel741">
    <w:name w:val="ListLabel 741"/>
    <w:qFormat/>
    <w:rPr>
      <w:rFonts w:cs="Symbol"/>
    </w:rPr>
  </w:style>
  <w:style w:type="character" w:styleId="ListLabel742">
    <w:name w:val="ListLabel 742"/>
    <w:qFormat/>
    <w:rPr>
      <w:rFonts w:cs="Courier New"/>
    </w:rPr>
  </w:style>
  <w:style w:type="character" w:styleId="ListLabel743">
    <w:name w:val="ListLabel 743"/>
    <w:qFormat/>
    <w:rPr>
      <w:rFonts w:cs="Wingdings"/>
    </w:rPr>
  </w:style>
  <w:style w:type="character" w:styleId="ListLabel744">
    <w:name w:val="ListLabel 744"/>
    <w:qFormat/>
    <w:rPr>
      <w:rFonts w:ascii="Times New Roman" w:hAnsi="Times New Roman" w:cs="Wingdings"/>
      <w:sz w:val="24"/>
    </w:rPr>
  </w:style>
  <w:style w:type="character" w:styleId="ListLabel745">
    <w:name w:val="ListLabel 745"/>
    <w:qFormat/>
    <w:rPr>
      <w:rFonts w:cs="Courier New"/>
    </w:rPr>
  </w:style>
  <w:style w:type="character" w:styleId="ListLabel746">
    <w:name w:val="ListLabel 746"/>
    <w:qFormat/>
    <w:rPr>
      <w:rFonts w:cs="Wingdings"/>
    </w:rPr>
  </w:style>
  <w:style w:type="character" w:styleId="ListLabel747">
    <w:name w:val="ListLabel 747"/>
    <w:qFormat/>
    <w:rPr>
      <w:rFonts w:cs="Symbol"/>
    </w:rPr>
  </w:style>
  <w:style w:type="character" w:styleId="ListLabel748">
    <w:name w:val="ListLabel 748"/>
    <w:qFormat/>
    <w:rPr>
      <w:rFonts w:cs="Courier New"/>
    </w:rPr>
  </w:style>
  <w:style w:type="character" w:styleId="ListLabel749">
    <w:name w:val="ListLabel 749"/>
    <w:qFormat/>
    <w:rPr>
      <w:rFonts w:cs="Wingdings"/>
    </w:rPr>
  </w:style>
  <w:style w:type="character" w:styleId="ListLabel750">
    <w:name w:val="ListLabel 750"/>
    <w:qFormat/>
    <w:rPr>
      <w:rFonts w:cs="Symbol"/>
    </w:rPr>
  </w:style>
  <w:style w:type="character" w:styleId="ListLabel751">
    <w:name w:val="ListLabel 751"/>
    <w:qFormat/>
    <w:rPr>
      <w:rFonts w:cs="Courier New"/>
    </w:rPr>
  </w:style>
  <w:style w:type="character" w:styleId="ListLabel752">
    <w:name w:val="ListLabel 752"/>
    <w:qFormat/>
    <w:rPr>
      <w:rFonts w:cs="Wingdings"/>
    </w:rPr>
  </w:style>
  <w:style w:type="character" w:styleId="ListLabel753">
    <w:name w:val="ListLabel 753"/>
    <w:qFormat/>
    <w:rPr>
      <w:rFonts w:ascii="Times New Roman" w:hAnsi="Times New Roman" w:cs="Symbol"/>
      <w:sz w:val="24"/>
    </w:rPr>
  </w:style>
  <w:style w:type="paragraph" w:styleId="Style22">
    <w:name w:val="Заголовок"/>
    <w:basedOn w:val="Normal"/>
    <w:next w:val="Style23"/>
    <w:qFormat/>
    <w:pPr>
      <w:keepNext/>
      <w:spacing w:before="240" w:after="120"/>
    </w:pPr>
    <w:rPr>
      <w:rFonts w:ascii="Liberation Sans" w:hAnsi="Liberation Sans" w:eastAsia="Noto Sans CJK SC Regular" w:cs="FreeSans"/>
      <w:sz w:val="28"/>
      <w:szCs w:val="28"/>
    </w:rPr>
  </w:style>
  <w:style w:type="paragraph" w:styleId="Style23">
    <w:name w:val="Body Text"/>
    <w:basedOn w:val="Normal"/>
    <w:link w:val="aff2"/>
    <w:unhideWhenUsed/>
    <w:rsid w:val="00163143"/>
    <w:pPr>
      <w:spacing w:before="0" w:after="120"/>
    </w:pPr>
    <w:rPr/>
  </w:style>
  <w:style w:type="paragraph" w:styleId="Style24">
    <w:name w:val="List"/>
    <w:basedOn w:val="Style23"/>
    <w:pPr/>
    <w:rPr>
      <w:rFonts w:cs="FreeSans"/>
    </w:rPr>
  </w:style>
  <w:style w:type="paragraph" w:styleId="Style25">
    <w:name w:val="Caption"/>
    <w:basedOn w:val="Normal"/>
    <w:qFormat/>
    <w:pPr>
      <w:suppressLineNumbers/>
      <w:spacing w:before="120" w:after="120"/>
    </w:pPr>
    <w:rPr>
      <w:rFonts w:cs="FreeSans"/>
      <w:i/>
      <w:iCs/>
      <w:sz w:val="24"/>
      <w:szCs w:val="24"/>
    </w:rPr>
  </w:style>
  <w:style w:type="paragraph" w:styleId="Style26">
    <w:name w:val="Указатель"/>
    <w:basedOn w:val="Normal"/>
    <w:qFormat/>
    <w:pPr>
      <w:suppressLineNumbers/>
    </w:pPr>
    <w:rPr>
      <w:rFonts w:cs="FreeSans"/>
    </w:rPr>
  </w:style>
  <w:style w:type="paragraph" w:styleId="TableTitle" w:customStyle="1">
    <w:name w:val="Table Title"/>
    <w:basedOn w:val="Normal"/>
    <w:autoRedefine/>
    <w:uiPriority w:val="99"/>
    <w:qFormat/>
    <w:rsid w:val="00f96f11"/>
    <w:pPr>
      <w:keepNext/>
      <w:keepLines/>
      <w:tabs>
        <w:tab w:val="left" w:pos="1134" w:leader="none"/>
        <w:tab w:val="left" w:pos="1701" w:leader="none"/>
      </w:tabs>
      <w:suppressAutoHyphens w:val="true"/>
      <w:spacing w:lineRule="auto" w:line="240" w:before="0" w:after="120"/>
      <w:ind w:left="714" w:hanging="357"/>
      <w:jc w:val="both"/>
    </w:pPr>
    <w:rPr>
      <w:rFonts w:ascii="Times New Roman" w:hAnsi="Times New Roman" w:eastAsia="Times New Roman" w:cs="Times New Roman"/>
      <w:b/>
      <w:bCs/>
      <w:sz w:val="24"/>
      <w:szCs w:val="24"/>
    </w:rPr>
  </w:style>
  <w:style w:type="paragraph" w:styleId="BalloonText">
    <w:name w:val="Balloon Text"/>
    <w:basedOn w:val="Normal"/>
    <w:link w:val="a4"/>
    <w:uiPriority w:val="99"/>
    <w:semiHidden/>
    <w:qFormat/>
    <w:rsid w:val="00163143"/>
    <w:pPr>
      <w:spacing w:lineRule="auto" w:line="240" w:before="0" w:after="0"/>
    </w:pPr>
    <w:rPr>
      <w:rFonts w:ascii="Tahoma" w:hAnsi="Tahoma" w:cs="Tahoma"/>
      <w:sz w:val="16"/>
      <w:szCs w:val="16"/>
    </w:rPr>
  </w:style>
  <w:style w:type="paragraph" w:styleId="Style27">
    <w:name w:val="Header"/>
    <w:basedOn w:val="Normal"/>
    <w:link w:val="a6"/>
    <w:uiPriority w:val="99"/>
    <w:rsid w:val="00163143"/>
    <w:pPr>
      <w:tabs>
        <w:tab w:val="center" w:pos="4677" w:leader="none"/>
        <w:tab w:val="right" w:pos="9355" w:leader="none"/>
      </w:tabs>
      <w:spacing w:lineRule="auto" w:line="240" w:before="0" w:after="0"/>
    </w:pPr>
    <w:rPr/>
  </w:style>
  <w:style w:type="paragraph" w:styleId="Style28">
    <w:name w:val="Footer"/>
    <w:basedOn w:val="Normal"/>
    <w:link w:val="a8"/>
    <w:uiPriority w:val="99"/>
    <w:rsid w:val="00163143"/>
    <w:pPr>
      <w:tabs>
        <w:tab w:val="center" w:pos="4677" w:leader="none"/>
        <w:tab w:val="right" w:pos="9355" w:leader="none"/>
      </w:tabs>
      <w:spacing w:lineRule="auto" w:line="240" w:before="0" w:after="0"/>
    </w:pPr>
    <w:rPr/>
  </w:style>
  <w:style w:type="paragraph" w:styleId="Style29">
    <w:name w:val="Subtitle"/>
    <w:basedOn w:val="Normal"/>
    <w:link w:val="aa"/>
    <w:uiPriority w:val="99"/>
    <w:qFormat/>
    <w:rsid w:val="00163143"/>
    <w:pPr>
      <w:spacing w:lineRule="auto" w:line="240" w:before="0" w:after="0"/>
    </w:pPr>
    <w:rPr>
      <w:rFonts w:ascii="Arial" w:hAnsi="Arial" w:eastAsia="Times New Roman"/>
      <w:b/>
      <w:i/>
      <w:sz w:val="20"/>
      <w:szCs w:val="20"/>
    </w:rPr>
  </w:style>
  <w:style w:type="paragraph" w:styleId="NoSpacing">
    <w:name w:val="No Spacing"/>
    <w:link w:val="ac"/>
    <w:uiPriority w:val="99"/>
    <w:qFormat/>
    <w:rsid w:val="00163143"/>
    <w:pPr>
      <w:widowControl/>
      <w:bidi w:val="0"/>
      <w:spacing w:lineRule="auto" w:line="240" w:before="0" w:after="0"/>
      <w:jc w:val="left"/>
    </w:pPr>
    <w:rPr>
      <w:rFonts w:ascii="Calibri" w:hAnsi="Calibri" w:eastAsia="Calibri" w:cs="Times New Roman"/>
      <w:color w:val="00000A"/>
      <w:sz w:val="22"/>
      <w:szCs w:val="22"/>
      <w:lang w:val="uk-UA" w:eastAsia="en-US" w:bidi="ar-SA"/>
    </w:rPr>
  </w:style>
  <w:style w:type="paragraph" w:styleId="ListParagraph">
    <w:name w:val="List Paragraph"/>
    <w:basedOn w:val="Normal"/>
    <w:link w:val="af"/>
    <w:uiPriority w:val="34"/>
    <w:qFormat/>
    <w:rsid w:val="00163143"/>
    <w:pPr>
      <w:spacing w:lineRule="auto" w:line="240" w:before="0" w:after="0"/>
      <w:ind w:left="720" w:hanging="0"/>
      <w:contextualSpacing/>
    </w:pPr>
    <w:rPr>
      <w:rFonts w:ascii="Arial" w:hAnsi="Arial"/>
      <w:sz w:val="20"/>
      <w:szCs w:val="20"/>
      <w:lang w:val="en-US" w:eastAsia="ja-JP"/>
    </w:rPr>
  </w:style>
  <w:style w:type="paragraph" w:styleId="13">
    <w:name w:val="TOC 1"/>
    <w:basedOn w:val="Normal"/>
    <w:autoRedefine/>
    <w:uiPriority w:val="39"/>
    <w:rsid w:val="0009386c"/>
    <w:pPr>
      <w:keepNext/>
      <w:tabs>
        <w:tab w:val="left" w:pos="9498" w:leader="dot"/>
      </w:tabs>
      <w:spacing w:lineRule="auto" w:line="240" w:before="120" w:after="120"/>
      <w:ind w:left="397" w:hanging="397"/>
      <w:jc w:val="both"/>
    </w:pPr>
    <w:rPr>
      <w:rFonts w:ascii="Arial" w:hAnsi="Arial" w:eastAsia="Calibri" w:cs="Arial"/>
      <w:b/>
      <w:bCs/>
      <w:caps/>
      <w:sz w:val="20"/>
      <w:szCs w:val="20"/>
      <w:lang w:val="en-US"/>
    </w:rPr>
  </w:style>
  <w:style w:type="paragraph" w:styleId="22">
    <w:name w:val="TOC 2"/>
    <w:basedOn w:val="Normal"/>
    <w:uiPriority w:val="39"/>
    <w:qFormat/>
    <w:rsid w:val="006d6dcb"/>
    <w:pPr>
      <w:tabs>
        <w:tab w:val="left" w:pos="426" w:leader="none"/>
        <w:tab w:val="left" w:pos="851" w:leader="none"/>
        <w:tab w:val="right" w:pos="9356" w:leader="dot"/>
      </w:tabs>
      <w:spacing w:lineRule="auto" w:line="240" w:before="0" w:after="0"/>
      <w:ind w:left="284" w:hanging="0"/>
    </w:pPr>
    <w:rPr>
      <w:rFonts w:ascii="Arial" w:hAnsi="Arial" w:eastAsia="Calibri" w:cs="Arial"/>
      <w:smallCaps/>
      <w:sz w:val="20"/>
      <w:szCs w:val="20"/>
      <w:lang w:val="en-US"/>
    </w:rPr>
  </w:style>
  <w:style w:type="paragraph" w:styleId="32">
    <w:name w:val="TOC 3"/>
    <w:basedOn w:val="Normal"/>
    <w:autoRedefine/>
    <w:uiPriority w:val="39"/>
    <w:rsid w:val="00163143"/>
    <w:pPr>
      <w:tabs>
        <w:tab w:val="left" w:pos="1560" w:leader="none"/>
        <w:tab w:val="right" w:pos="9061" w:leader="dot"/>
      </w:tabs>
      <w:spacing w:lineRule="auto" w:line="240" w:before="0" w:after="0"/>
      <w:ind w:left="1560" w:hanging="709"/>
    </w:pPr>
    <w:rPr>
      <w:rFonts w:ascii="Arial" w:hAnsi="Arial" w:cs="Calibri"/>
      <w:i/>
      <w:iCs/>
      <w:sz w:val="20"/>
      <w:szCs w:val="20"/>
      <w:lang w:val="en-US"/>
    </w:rPr>
  </w:style>
  <w:style w:type="paragraph" w:styleId="42">
    <w:name w:val="TOC 4"/>
    <w:basedOn w:val="Normal"/>
    <w:autoRedefine/>
    <w:uiPriority w:val="99"/>
    <w:rsid w:val="00163143"/>
    <w:pPr>
      <w:spacing w:lineRule="auto" w:line="240" w:before="0" w:after="0"/>
      <w:ind w:left="660" w:hanging="0"/>
    </w:pPr>
    <w:rPr>
      <w:rFonts w:cs="Calibri"/>
      <w:sz w:val="18"/>
      <w:szCs w:val="18"/>
      <w:lang w:val="en-US"/>
    </w:rPr>
  </w:style>
  <w:style w:type="paragraph" w:styleId="5">
    <w:name w:val="TOC 5"/>
    <w:basedOn w:val="Normal"/>
    <w:autoRedefine/>
    <w:uiPriority w:val="99"/>
    <w:rsid w:val="00163143"/>
    <w:pPr>
      <w:spacing w:lineRule="auto" w:line="240" w:before="0" w:after="0"/>
      <w:ind w:left="880" w:hanging="0"/>
    </w:pPr>
    <w:rPr>
      <w:rFonts w:cs="Calibri"/>
      <w:sz w:val="18"/>
      <w:szCs w:val="18"/>
      <w:lang w:val="en-US"/>
    </w:rPr>
  </w:style>
  <w:style w:type="paragraph" w:styleId="62">
    <w:name w:val="TOC 6"/>
    <w:basedOn w:val="Normal"/>
    <w:autoRedefine/>
    <w:uiPriority w:val="99"/>
    <w:rsid w:val="00163143"/>
    <w:pPr>
      <w:spacing w:lineRule="auto" w:line="240" w:before="0" w:after="0"/>
      <w:ind w:left="1100" w:hanging="0"/>
    </w:pPr>
    <w:rPr>
      <w:rFonts w:cs="Calibri"/>
      <w:sz w:val="18"/>
      <w:szCs w:val="18"/>
      <w:lang w:val="en-US"/>
    </w:rPr>
  </w:style>
  <w:style w:type="paragraph" w:styleId="7">
    <w:name w:val="TOC 7"/>
    <w:basedOn w:val="Normal"/>
    <w:autoRedefine/>
    <w:uiPriority w:val="99"/>
    <w:rsid w:val="00163143"/>
    <w:pPr>
      <w:spacing w:lineRule="auto" w:line="240" w:before="0" w:after="0"/>
      <w:ind w:left="1320" w:hanging="0"/>
    </w:pPr>
    <w:rPr>
      <w:rFonts w:cs="Calibri"/>
      <w:sz w:val="18"/>
      <w:szCs w:val="18"/>
      <w:lang w:val="en-US"/>
    </w:rPr>
  </w:style>
  <w:style w:type="paragraph" w:styleId="8">
    <w:name w:val="TOC 8"/>
    <w:basedOn w:val="Normal"/>
    <w:autoRedefine/>
    <w:uiPriority w:val="99"/>
    <w:rsid w:val="00163143"/>
    <w:pPr>
      <w:spacing w:lineRule="auto" w:line="240" w:before="0" w:after="0"/>
      <w:ind w:left="1540" w:hanging="0"/>
    </w:pPr>
    <w:rPr>
      <w:rFonts w:cs="Calibri"/>
      <w:sz w:val="18"/>
      <w:szCs w:val="18"/>
      <w:lang w:val="en-US"/>
    </w:rPr>
  </w:style>
  <w:style w:type="paragraph" w:styleId="9">
    <w:name w:val="TOC 9"/>
    <w:basedOn w:val="Normal"/>
    <w:autoRedefine/>
    <w:uiPriority w:val="99"/>
    <w:rsid w:val="00163143"/>
    <w:pPr>
      <w:spacing w:lineRule="auto" w:line="240" w:before="0" w:after="0"/>
      <w:ind w:left="1760" w:hanging="0"/>
    </w:pPr>
    <w:rPr>
      <w:rFonts w:cs="Calibri"/>
      <w:sz w:val="18"/>
      <w:szCs w:val="18"/>
      <w:lang w:val="en-US"/>
    </w:rPr>
  </w:style>
  <w:style w:type="paragraph" w:styleId="ChartTitle" w:customStyle="1">
    <w:name w:val="Chart Title"/>
    <w:basedOn w:val="Normal"/>
    <w:uiPriority w:val="99"/>
    <w:qFormat/>
    <w:rsid w:val="00163143"/>
    <w:pPr>
      <w:keepNext/>
      <w:keepLines/>
      <w:suppressAutoHyphens w:val="true"/>
      <w:spacing w:lineRule="auto" w:line="240" w:before="0" w:after="120"/>
      <w:jc w:val="both"/>
    </w:pPr>
    <w:rPr>
      <w:rFonts w:ascii="Arial" w:hAnsi="Arial" w:eastAsia="Times New Roman" w:cs="Arial"/>
      <w:b/>
    </w:rPr>
  </w:style>
  <w:style w:type="paragraph" w:styleId="Caption">
    <w:name w:val="caption"/>
    <w:basedOn w:val="Normal"/>
    <w:uiPriority w:val="99"/>
    <w:qFormat/>
    <w:rsid w:val="00163143"/>
    <w:pPr>
      <w:spacing w:lineRule="auto" w:line="240" w:before="0" w:after="120"/>
      <w:ind w:firstLine="720"/>
      <w:jc w:val="both"/>
    </w:pPr>
    <w:rPr>
      <w:rFonts w:ascii="Arial" w:hAnsi="Arial" w:eastAsia="Times New Roman"/>
      <w:b/>
      <w:bCs/>
      <w:sz w:val="20"/>
      <w:szCs w:val="20"/>
    </w:rPr>
  </w:style>
  <w:style w:type="paragraph" w:styleId="ListofTables" w:customStyle="1">
    <w:name w:val="List of Tables"/>
    <w:basedOn w:val="Normal"/>
    <w:uiPriority w:val="99"/>
    <w:qFormat/>
    <w:rsid w:val="00163143"/>
    <w:pPr>
      <w:spacing w:lineRule="auto" w:line="240" w:before="0" w:after="120"/>
      <w:ind w:firstLine="720"/>
      <w:jc w:val="both"/>
    </w:pPr>
    <w:rPr>
      <w:rFonts w:ascii="Arial" w:hAnsi="Arial" w:eastAsia="Times New Roman" w:cs="Arial"/>
      <w:b/>
    </w:rPr>
  </w:style>
  <w:style w:type="paragraph" w:styleId="Footnotetext">
    <w:name w:val="footnote text"/>
    <w:basedOn w:val="Normal"/>
    <w:link w:val="af5"/>
    <w:uiPriority w:val="99"/>
    <w:semiHidden/>
    <w:qFormat/>
    <w:rsid w:val="00163143"/>
    <w:pPr>
      <w:spacing w:lineRule="auto" w:line="240" w:before="0" w:after="120"/>
      <w:ind w:firstLine="720"/>
      <w:jc w:val="both"/>
    </w:pPr>
    <w:rPr>
      <w:rFonts w:ascii="Arial" w:hAnsi="Arial" w:eastAsia="Times New Roman"/>
      <w:sz w:val="16"/>
      <w:szCs w:val="20"/>
    </w:rPr>
  </w:style>
  <w:style w:type="paragraph" w:styleId="Tableoffigures">
    <w:name w:val="table of figures"/>
    <w:basedOn w:val="Normal"/>
    <w:autoRedefine/>
    <w:uiPriority w:val="99"/>
    <w:qFormat/>
    <w:rsid w:val="0097338e"/>
    <w:pPr>
      <w:tabs>
        <w:tab w:val="left" w:pos="1134" w:leader="none"/>
        <w:tab w:val="left" w:pos="1560" w:leader="none"/>
        <w:tab w:val="right" w:pos="9781" w:leader="dot"/>
      </w:tabs>
      <w:spacing w:lineRule="auto" w:line="240" w:before="0" w:after="0"/>
      <w:ind w:left="1134" w:hanging="1134"/>
      <w:jc w:val="both"/>
    </w:pPr>
    <w:rPr>
      <w:rFonts w:ascii="Arial" w:hAnsi="Arial" w:eastAsia="Times New Roman"/>
    </w:rPr>
  </w:style>
  <w:style w:type="paragraph" w:styleId="366" w:customStyle="1">
    <w:name w:val="Стиль Заголовок 3 + Перед:  6 пт После:  6 пт"/>
    <w:basedOn w:val="3"/>
    <w:uiPriority w:val="99"/>
    <w:qFormat/>
    <w:rsid w:val="00163143"/>
    <w:pPr>
      <w:keepLines w:val="false"/>
      <w:spacing w:before="120" w:after="120"/>
      <w:ind w:left="0" w:firstLine="720"/>
      <w:jc w:val="both"/>
    </w:pPr>
    <w:rPr>
      <w:i w:val="false"/>
      <w:sz w:val="24"/>
    </w:rPr>
  </w:style>
  <w:style w:type="paragraph" w:styleId="14" w:customStyle="1">
    <w:name w:val="Стиль Заголовок 1 + все прописные"/>
    <w:basedOn w:val="1"/>
    <w:uiPriority w:val="99"/>
    <w:qFormat/>
    <w:rsid w:val="00163143"/>
    <w:pPr>
      <w:spacing w:lineRule="auto" w:line="240"/>
      <w:ind w:firstLine="720"/>
      <w:jc w:val="both"/>
    </w:pPr>
    <w:rPr>
      <w:rFonts w:cs="Arial"/>
      <w:caps/>
      <w:sz w:val="32"/>
    </w:rPr>
  </w:style>
  <w:style w:type="paragraph" w:styleId="111" w:customStyle="1">
    <w:name w:val="Стиль Заголовок 1 + все прописные1"/>
    <w:basedOn w:val="1"/>
    <w:uiPriority w:val="99"/>
    <w:qFormat/>
    <w:rsid w:val="00163143"/>
    <w:pPr>
      <w:spacing w:lineRule="auto" w:line="240" w:before="360" w:after="240"/>
      <w:ind w:firstLine="720"/>
      <w:jc w:val="both"/>
    </w:pPr>
    <w:rPr>
      <w:rFonts w:cs="Arial"/>
      <w:caps/>
      <w:sz w:val="32"/>
    </w:rPr>
  </w:style>
  <w:style w:type="paragraph" w:styleId="212" w:customStyle="1">
    <w:name w:val="Стиль Заголовок 2 + не курсив малые прописные После:  12 пт"/>
    <w:basedOn w:val="2"/>
    <w:uiPriority w:val="99"/>
    <w:qFormat/>
    <w:rsid w:val="00163143"/>
    <w:pPr>
      <w:keepLines w:val="false"/>
      <w:spacing w:before="240" w:after="240"/>
      <w:ind w:left="0" w:firstLine="720"/>
      <w:jc w:val="both"/>
    </w:pPr>
    <w:rPr>
      <w:smallCaps/>
      <w:sz w:val="28"/>
      <w:szCs w:val="20"/>
    </w:rPr>
  </w:style>
  <w:style w:type="paragraph" w:styleId="2121" w:customStyle="1">
    <w:name w:val="Стиль Заголовок 2 + не курсив малые прописные После:  12 пт1"/>
    <w:basedOn w:val="2"/>
    <w:autoRedefine/>
    <w:uiPriority w:val="99"/>
    <w:qFormat/>
    <w:rsid w:val="00163143"/>
    <w:pPr>
      <w:keepLines w:val="false"/>
      <w:spacing w:before="240" w:after="240"/>
      <w:ind w:left="1418" w:hanging="698"/>
      <w:jc w:val="both"/>
    </w:pPr>
    <w:rPr>
      <w:smallCaps/>
      <w:sz w:val="28"/>
      <w:szCs w:val="20"/>
    </w:rPr>
  </w:style>
  <w:style w:type="paragraph" w:styleId="Annotationtext">
    <w:name w:val="annotation text"/>
    <w:basedOn w:val="Normal"/>
    <w:link w:val="afa"/>
    <w:uiPriority w:val="99"/>
    <w:semiHidden/>
    <w:qFormat/>
    <w:rsid w:val="00163143"/>
    <w:pPr>
      <w:spacing w:lineRule="auto" w:line="240" w:before="0" w:after="120"/>
      <w:ind w:firstLine="720"/>
      <w:jc w:val="both"/>
    </w:pPr>
    <w:rPr>
      <w:rFonts w:ascii="Arial" w:hAnsi="Arial" w:eastAsia="Times New Roman"/>
      <w:sz w:val="20"/>
      <w:szCs w:val="20"/>
    </w:rPr>
  </w:style>
  <w:style w:type="paragraph" w:styleId="Annotationsubject">
    <w:name w:val="annotation subject"/>
    <w:basedOn w:val="Annotationtext"/>
    <w:link w:val="afc"/>
    <w:uiPriority w:val="99"/>
    <w:semiHidden/>
    <w:qFormat/>
    <w:rsid w:val="00163143"/>
    <w:pPr/>
    <w:rPr>
      <w:b/>
      <w:bCs/>
    </w:rPr>
  </w:style>
  <w:style w:type="paragraph" w:styleId="TOCHeading">
    <w:name w:val="TOC Heading"/>
    <w:basedOn w:val="1"/>
    <w:uiPriority w:val="99"/>
    <w:qFormat/>
    <w:rsid w:val="00163143"/>
    <w:pPr>
      <w:keepLines/>
      <w:pageBreakBefore w:val="false"/>
      <w:spacing w:before="480" w:after="0"/>
    </w:pPr>
    <w:rPr>
      <w:rFonts w:ascii="Cambria" w:hAnsi="Cambria"/>
      <w:color w:val="365F91"/>
      <w:szCs w:val="28"/>
    </w:rPr>
  </w:style>
  <w:style w:type="paragraph" w:styleId="15" w:customStyle="1">
    <w:name w:val="1"/>
    <w:basedOn w:val="Normal"/>
    <w:uiPriority w:val="99"/>
    <w:qFormat/>
    <w:rsid w:val="00163143"/>
    <w:pPr>
      <w:spacing w:lineRule="auto" w:line="240" w:before="0" w:after="0"/>
    </w:pPr>
    <w:rPr>
      <w:rFonts w:ascii="Verdana" w:hAnsi="Verdana" w:eastAsia="Times New Roman"/>
      <w:sz w:val="20"/>
      <w:szCs w:val="20"/>
      <w:lang w:val="en-US"/>
    </w:rPr>
  </w:style>
  <w:style w:type="paragraph" w:styleId="LINCTableRus" w:customStyle="1">
    <w:name w:val="LINC Table Rus"/>
    <w:basedOn w:val="Normal"/>
    <w:uiPriority w:val="99"/>
    <w:qFormat/>
    <w:rsid w:val="00163143"/>
    <w:pPr>
      <w:keepNext/>
      <w:keepLines/>
      <w:tabs>
        <w:tab w:val="left" w:pos="1418" w:leader="none"/>
      </w:tabs>
      <w:spacing w:lineRule="auto" w:line="240" w:before="120" w:after="120"/>
      <w:jc w:val="both"/>
    </w:pPr>
    <w:rPr>
      <w:rFonts w:ascii="Arial" w:hAnsi="Arial" w:eastAsia="Times New Roman" w:cs="Arial"/>
      <w:b/>
      <w:color w:val="004990"/>
    </w:rPr>
  </w:style>
  <w:style w:type="paragraph" w:styleId="NormalWeb">
    <w:name w:val="Normal (Web)"/>
    <w:basedOn w:val="Normal"/>
    <w:uiPriority w:val="99"/>
    <w:qFormat/>
    <w:rsid w:val="00163143"/>
    <w:pPr>
      <w:spacing w:lineRule="auto" w:line="240" w:beforeAutospacing="1" w:afterAutospacing="1"/>
    </w:pPr>
    <w:rPr>
      <w:rFonts w:ascii="Times New Roman" w:hAnsi="Times New Roman" w:eastAsia="Times New Roman"/>
      <w:sz w:val="24"/>
      <w:szCs w:val="24"/>
      <w:lang w:eastAsia="ru-RU"/>
    </w:rPr>
  </w:style>
  <w:style w:type="paragraph" w:styleId="Rvps15" w:customStyle="1">
    <w:name w:val="rvps15"/>
    <w:basedOn w:val="Normal"/>
    <w:uiPriority w:val="99"/>
    <w:qFormat/>
    <w:rsid w:val="00163143"/>
    <w:pPr>
      <w:spacing w:lineRule="auto" w:line="240" w:beforeAutospacing="1" w:afterAutospacing="1"/>
    </w:pPr>
    <w:rPr>
      <w:rFonts w:ascii="Times New Roman" w:hAnsi="Times New Roman" w:eastAsia="Times New Roman"/>
      <w:sz w:val="24"/>
      <w:szCs w:val="24"/>
      <w:lang w:eastAsia="uk-UA"/>
    </w:rPr>
  </w:style>
  <w:style w:type="paragraph" w:styleId="Western" w:customStyle="1">
    <w:name w:val="western"/>
    <w:basedOn w:val="Normal"/>
    <w:uiPriority w:val="99"/>
    <w:qFormat/>
    <w:rsid w:val="00163143"/>
    <w:pPr>
      <w:spacing w:lineRule="auto" w:line="240" w:beforeAutospacing="1" w:afterAutospacing="1"/>
    </w:pPr>
    <w:rPr>
      <w:rFonts w:ascii="Times New Roman" w:hAnsi="Times New Roman" w:eastAsia="Times New Roman"/>
      <w:sz w:val="24"/>
      <w:szCs w:val="24"/>
      <w:lang w:eastAsia="uk-UA"/>
    </w:rPr>
  </w:style>
  <w:style w:type="paragraph" w:styleId="Style30">
    <w:name w:val="Body Text Indent"/>
    <w:basedOn w:val="Normal"/>
    <w:link w:val="af1"/>
    <w:rsid w:val="00163143"/>
    <w:pPr>
      <w:widowControl w:val="false"/>
      <w:spacing w:lineRule="auto" w:line="240" w:before="0" w:after="120"/>
      <w:ind w:left="283" w:hanging="0"/>
    </w:pPr>
    <w:rPr>
      <w:rFonts w:ascii="Times New Roman" w:hAnsi="Times New Roman" w:eastAsia="Times New Roman"/>
      <w:sz w:val="24"/>
      <w:szCs w:val="24"/>
      <w:lang w:eastAsia="ru-RU"/>
    </w:rPr>
  </w:style>
  <w:style w:type="paragraph" w:styleId="16" w:customStyle="1">
    <w:name w:val="Основной текст1"/>
    <w:basedOn w:val="Normal"/>
    <w:link w:val="BodytextChar"/>
    <w:qFormat/>
    <w:rsid w:val="00163143"/>
    <w:pPr>
      <w:spacing w:lineRule="auto" w:line="240" w:before="0" w:after="240"/>
      <w:ind w:left="360" w:hanging="0"/>
      <w:jc w:val="both"/>
    </w:pPr>
    <w:rPr>
      <w:rFonts w:ascii="Arial" w:hAnsi="Arial" w:eastAsia="Times New Roman" w:cs="Arial"/>
      <w:color w:val="000000"/>
      <w:szCs w:val="20"/>
      <w:lang w:val="en-GB"/>
    </w:rPr>
  </w:style>
  <w:style w:type="paragraph" w:styleId="17" w:customStyle="1">
    <w:name w:val="Список 1"/>
    <w:basedOn w:val="Style23"/>
    <w:link w:val="16"/>
    <w:qFormat/>
    <w:rsid w:val="00163143"/>
    <w:pPr>
      <w:widowControl w:val="false"/>
      <w:tabs>
        <w:tab w:val="left" w:pos="567" w:leader="none"/>
      </w:tabs>
      <w:suppressAutoHyphens w:val="true"/>
      <w:snapToGrid w:val="false"/>
      <w:spacing w:lineRule="auto" w:line="240" w:before="120" w:after="0"/>
      <w:jc w:val="both"/>
    </w:pPr>
    <w:rPr>
      <w:rFonts w:ascii="Arial" w:hAnsi="Arial" w:cs="Arial"/>
    </w:rPr>
  </w:style>
  <w:style w:type="paragraph" w:styleId="Xfmc1" w:customStyle="1">
    <w:name w:val="xfmc1"/>
    <w:basedOn w:val="Normal"/>
    <w:qFormat/>
    <w:rsid w:val="00163143"/>
    <w:pPr>
      <w:spacing w:lineRule="auto" w:line="240" w:beforeAutospacing="1" w:afterAutospacing="1"/>
    </w:pPr>
    <w:rPr>
      <w:rFonts w:ascii="Times New Roman" w:hAnsi="Times New Roman" w:eastAsia="Times New Roman"/>
      <w:sz w:val="24"/>
      <w:szCs w:val="24"/>
      <w:lang w:eastAsia="ru-RU"/>
    </w:rPr>
  </w:style>
  <w:style w:type="paragraph" w:styleId="Standard" w:customStyle="1">
    <w:name w:val="Standard"/>
    <w:qFormat/>
    <w:rsid w:val="00163143"/>
    <w:pPr>
      <w:widowControl w:val="false"/>
      <w:suppressAutoHyphens w:val="true"/>
      <w:bidi w:val="0"/>
      <w:spacing w:lineRule="auto" w:line="240" w:before="0" w:after="0"/>
      <w:jc w:val="left"/>
      <w:textAlignment w:val="baseline"/>
    </w:pPr>
    <w:rPr>
      <w:rFonts w:ascii="Arial" w:hAnsi="Arial" w:eastAsia="Lucida Sans Unicode" w:cs="Tahoma" w:asciiTheme="minorHAnsi" w:hAnsiTheme="minorHAnsi"/>
      <w:color w:val="00000A"/>
      <w:sz w:val="21"/>
      <w:szCs w:val="24"/>
      <w:lang w:val="ru-RU" w:eastAsia="ru-RU" w:bidi="ar-SA"/>
    </w:rPr>
  </w:style>
  <w:style w:type="paragraph" w:styleId="18" w:customStyle="1">
    <w:name w:val="Абзац списка1"/>
    <w:basedOn w:val="Normal"/>
    <w:qFormat/>
    <w:rsid w:val="00163143"/>
    <w:pPr>
      <w:spacing w:before="0" w:after="0"/>
      <w:ind w:left="720" w:hanging="0"/>
    </w:pPr>
    <w:rPr>
      <w:rFonts w:ascii="Times New Roman" w:hAnsi="Times New Roman" w:eastAsia="Times New Roman"/>
      <w:sz w:val="28"/>
      <w:szCs w:val="28"/>
    </w:rPr>
  </w:style>
  <w:style w:type="paragraph" w:styleId="Style121" w:customStyle="1">
    <w:name w:val="Style12"/>
    <w:basedOn w:val="Normal"/>
    <w:qFormat/>
    <w:rsid w:val="00163143"/>
    <w:pPr>
      <w:widowControl w:val="false"/>
      <w:spacing w:lineRule="auto" w:line="240" w:before="0" w:after="0"/>
    </w:pPr>
    <w:rPr>
      <w:rFonts w:ascii="Times New Roman" w:hAnsi="Times New Roman" w:eastAsia="Times New Roman"/>
      <w:sz w:val="24"/>
      <w:szCs w:val="24"/>
      <w:lang w:eastAsia="uk-UA"/>
    </w:rPr>
  </w:style>
  <w:style w:type="paragraph" w:styleId="Style241" w:customStyle="1">
    <w:name w:val="Style24"/>
    <w:basedOn w:val="Normal"/>
    <w:qFormat/>
    <w:rsid w:val="00163143"/>
    <w:pPr>
      <w:widowControl w:val="false"/>
      <w:spacing w:lineRule="auto" w:line="240" w:before="0" w:after="0"/>
    </w:pPr>
    <w:rPr>
      <w:rFonts w:ascii="Times New Roman" w:hAnsi="Times New Roman" w:eastAsia="Times New Roman"/>
      <w:sz w:val="24"/>
      <w:szCs w:val="24"/>
      <w:lang w:eastAsia="uk-UA"/>
    </w:rPr>
  </w:style>
  <w:style w:type="paragraph" w:styleId="Style61" w:customStyle="1">
    <w:name w:val="Style61"/>
    <w:basedOn w:val="Normal"/>
    <w:qFormat/>
    <w:rsid w:val="00163143"/>
    <w:pPr>
      <w:widowControl w:val="false"/>
      <w:spacing w:lineRule="auto" w:line="240" w:before="0" w:after="0"/>
    </w:pPr>
    <w:rPr>
      <w:rFonts w:ascii="Times New Roman" w:hAnsi="Times New Roman" w:eastAsia="Times New Roman"/>
      <w:sz w:val="24"/>
      <w:szCs w:val="24"/>
      <w:lang w:eastAsia="uk-UA"/>
    </w:rPr>
  </w:style>
  <w:style w:type="paragraph" w:styleId="Rvps2" w:customStyle="1">
    <w:name w:val="rvps2"/>
    <w:basedOn w:val="Normal"/>
    <w:qFormat/>
    <w:rsid w:val="00f505e2"/>
    <w:pPr>
      <w:spacing w:lineRule="auto" w:line="240" w:beforeAutospacing="1" w:afterAutospacing="1"/>
    </w:pPr>
    <w:rPr>
      <w:rFonts w:ascii="Times New Roman" w:hAnsi="Times New Roman" w:eastAsia="Times New Roman" w:cs="Times New Roman"/>
      <w:sz w:val="24"/>
      <w:szCs w:val="24"/>
      <w:lang w:val="ru-RU" w:eastAsia="ru-RU"/>
    </w:rPr>
  </w:style>
  <w:style w:type="paragraph" w:styleId="TableParagraph" w:customStyle="1">
    <w:name w:val="Table Paragraph"/>
    <w:basedOn w:val="Normal"/>
    <w:qFormat/>
    <w:rsid w:val="00be185f"/>
    <w:pPr>
      <w:spacing w:lineRule="auto" w:line="259" w:before="0" w:after="160"/>
      <w:ind w:left="71" w:hanging="0"/>
    </w:pPr>
    <w:rPr>
      <w:rFonts w:cs="" w:cstheme="minorBidi"/>
      <w:color w:val="00000A"/>
    </w:rPr>
  </w:style>
  <w:style w:type="paragraph" w:styleId="Style31">
    <w:name w:val="Содержимое врезки"/>
    <w:basedOn w:val="Normal"/>
    <w:qFormat/>
    <w:pPr/>
    <w:rPr/>
  </w:style>
  <w:style w:type="paragraph" w:styleId="Style32">
    <w:name w:val="Обычный (веб)"/>
    <w:basedOn w:val="Normal"/>
    <w:qFormat/>
    <w:pPr>
      <w:spacing w:before="280" w:after="280"/>
    </w:pPr>
    <w:rPr>
      <w:sz w:val="24"/>
      <w:szCs w:val="24"/>
    </w:rPr>
  </w:style>
  <w:style w:type="numbering" w:styleId="NoList" w:default="1">
    <w:name w:val="No List"/>
    <w:uiPriority w:val="99"/>
    <w:semiHidden/>
    <w:unhideWhenUsed/>
    <w:qFormat/>
  </w:style>
  <w:style w:type="numbering" w:styleId="19" w:customStyle="1">
    <w:name w:val="Немає списку1"/>
    <w:uiPriority w:val="99"/>
    <w:semiHidden/>
    <w:unhideWhenUsed/>
    <w:qFormat/>
    <w:rsid w:val="000f24eb"/>
  </w:style>
  <w:style w:type="numbering" w:styleId="23" w:customStyle="1">
    <w:name w:val="Немає списку2"/>
    <w:uiPriority w:val="99"/>
    <w:semiHidden/>
    <w:unhideWhenUsed/>
    <w:qFormat/>
    <w:rsid w:val="00e72a56"/>
  </w:style>
  <w:style w:type="numbering" w:styleId="112" w:customStyle="1">
    <w:name w:val="Немає списку11"/>
    <w:uiPriority w:val="99"/>
    <w:semiHidden/>
    <w:unhideWhenUsed/>
    <w:qFormat/>
    <w:rsid w:val="00e72a56"/>
  </w:style>
  <w:style w:type="numbering" w:styleId="WW8Num2">
    <w:name w:val="WW8Num2"/>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styleId="ad">
    <w:name w:val="Table Grid"/>
    <w:basedOn w:val="a1"/>
    <w:uiPriority w:val="39"/>
    <w:rsid w:val="00163143"/>
    <w:pPr>
      <w:spacing w:after="0" w:line="240" w:lineRule="auto"/>
    </w:pPr>
    <w:rPr>
      <w:lang w:val="uk-UA"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
    <w:name w:val="Сітка таблиці1"/>
    <w:basedOn w:val="a1"/>
    <w:uiPriority w:val="59"/>
    <w:rsid w:val="00aa302e"/>
    <w:pPr>
      <w:spacing w:after="0" w:line="240" w:lineRule="auto"/>
    </w:pPr>
    <w:rPr>
      <w:rFonts w:eastAsiaTheme="minorEastAsia"/>
      <w:lang w:eastAsia="ru-RU"/>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customStyle="1" w:styleId="42">
    <w:name w:val="Сітка таблиці4"/>
    <w:basedOn w:val="a1"/>
    <w:uiPriority w:val="39"/>
    <w:rsid w:val="00da5429"/>
    <w:pPr>
      <w:spacing w:after="0" w:line="240" w:lineRule="auto"/>
    </w:pPr>
    <w:rPr>
      <w:lang w:val="uk-U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0">
    <w:name w:val="Сітка таблиці5"/>
    <w:basedOn w:val="a1"/>
    <w:uiPriority w:val="39"/>
    <w:rsid w:val="00d84651"/>
    <w:pPr>
      <w:spacing w:after="0" w:line="240" w:lineRule="auto"/>
    </w:pPr>
    <w:rPr>
      <w:lang w:val="uk-U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
    <w:name w:val="Сітка таблиці2"/>
    <w:basedOn w:val="a1"/>
    <w:uiPriority w:val="59"/>
    <w:rsid w:val="00215722"/>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
    <w:name w:val="Сітка таблиці3"/>
    <w:basedOn w:val="a1"/>
    <w:uiPriority w:val="39"/>
    <w:rsid w:val="00282f8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2">
    <w:name w:val="Сітка таблиці6"/>
    <w:basedOn w:val="a1"/>
    <w:uiPriority w:val="39"/>
    <w:rsid w:val="000a07f6"/>
    <w:pPr>
      <w:spacing w:after="0" w:line="240" w:lineRule="auto"/>
    </w:pPr>
    <w:rPr>
      <w:lang w:val="uk-UA"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0">
    <w:name w:val="Сітка таблиці7"/>
    <w:basedOn w:val="a1"/>
    <w:uiPriority w:val="59"/>
    <w:rsid w:val="005e0b92"/>
    <w:pPr>
      <w:spacing w:after="0" w:line="240" w:lineRule="auto"/>
    </w:pPr>
    <w:rPr>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80">
    <w:name w:val="Сітка таблиці8"/>
    <w:basedOn w:val="a1"/>
    <w:uiPriority w:val="39"/>
    <w:rsid w:val="00e72a56"/>
    <w:pPr>
      <w:spacing w:after="0" w:line="240" w:lineRule="auto"/>
    </w:pPr>
    <w:rPr>
      <w:lang w:val="uk-UA"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
    <w:name w:val="Сітка таблиці11"/>
    <w:basedOn w:val="a1"/>
    <w:uiPriority w:val="59"/>
    <w:rsid w:val="00e72a56"/>
    <w:pPr>
      <w:spacing w:after="0" w:line="240" w:lineRule="auto"/>
    </w:pPr>
    <w:rPr>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410">
    <w:name w:val="Сітка таблиці41"/>
    <w:basedOn w:val="a1"/>
    <w:uiPriority w:val="39"/>
    <w:rsid w:val="00e72a56"/>
    <w:pPr>
      <w:spacing w:after="0" w:line="240" w:lineRule="auto"/>
    </w:pPr>
    <w:rPr>
      <w:lang w:val="uk-U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
    <w:name w:val="Сітка таблиці51"/>
    <w:basedOn w:val="a1"/>
    <w:uiPriority w:val="39"/>
    <w:rsid w:val="00e72a56"/>
    <w:pPr>
      <w:spacing w:after="0" w:line="240" w:lineRule="auto"/>
    </w:pPr>
    <w:rPr>
      <w:lang w:val="uk-U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
    <w:name w:val="Сітка таблиці21"/>
    <w:basedOn w:val="a1"/>
    <w:uiPriority w:val="59"/>
    <w:rsid w:val="00e72a56"/>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
    <w:name w:val="Сітка таблиці31"/>
    <w:basedOn w:val="a1"/>
    <w:uiPriority w:val="39"/>
    <w:rsid w:val="00e72a56"/>
    <w:pPr>
      <w:spacing w:after="0" w:line="240" w:lineRule="auto"/>
    </w:pPr>
    <w:rPr>
      <w:lang w:val="uk-UA" w:eastAsia="uk-UA"/>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10">
    <w:name w:val="Сітка таблиці61"/>
    <w:basedOn w:val="a1"/>
    <w:uiPriority w:val="39"/>
    <w:rsid w:val="00e72a56"/>
    <w:pPr>
      <w:spacing w:after="0" w:line="240" w:lineRule="auto"/>
    </w:pPr>
    <w:rPr>
      <w:lang w:val="uk-UA"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
    <w:name w:val="Сітка таблиці71"/>
    <w:basedOn w:val="a1"/>
    <w:uiPriority w:val="39"/>
    <w:rsid w:val="00e72a56"/>
    <w:pPr>
      <w:spacing w:after="0" w:line="240" w:lineRule="auto"/>
    </w:pPr>
    <w:rPr>
      <w:lang w:val="uk-U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gif"/><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Relationship Id="rId19"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D76918-DE92-4B75-8979-950FA70E8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Application>LibreOffice/5.1.6.2$Linux_x86 LibreOffice_project/10m0$Build-2</Application>
  <Pages>51</Pages>
  <Words>16890</Words>
  <Characters>120357</Characters>
  <CharactersWithSpaces>135837</CharactersWithSpaces>
  <Paragraphs>1593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2021-04-05T08:45:00Z</dcterms:created>
  <dc:creator/>
  <dc:description/>
  <dc:language>ru-RU</dc:language>
  <cp:lastModifiedBy/>
  <dcterms:modified xsi:type="dcterms:W3CDTF">2021-10-20T14:51:06Z</dcterms:modified>
  <cp:revision>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