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7B" w:rsidRPr="00205BDC" w:rsidRDefault="005C476C" w:rsidP="00544B0F">
      <w:pPr>
        <w:jc w:val="center"/>
        <w:rPr>
          <w:rFonts w:ascii="Times New Roman" w:hAnsi="Times New Roman" w:cs="Times New Roman"/>
          <w:sz w:val="28"/>
          <w:szCs w:val="28"/>
          <w:lang w:val="uk-UA"/>
        </w:rPr>
      </w:pPr>
      <w:r w:rsidRPr="00205BDC">
        <w:rPr>
          <w:rFonts w:ascii="Times New Roman" w:hAnsi="Times New Roman" w:cs="Times New Roman"/>
          <w:sz w:val="28"/>
          <w:szCs w:val="28"/>
          <w:lang w:val="uk-UA"/>
        </w:rPr>
        <w:t xml:space="preserve">Звіт про базове відстеження результативності регуляторного акта – проекту рішення виконавчого комітету Каховської міської ради «Про затвердження правил приймання стічних вод до систем централізованого водовідведення </w:t>
      </w:r>
      <w:proofErr w:type="spellStart"/>
      <w:r w:rsidRPr="00205BDC">
        <w:rPr>
          <w:rFonts w:ascii="Times New Roman" w:hAnsi="Times New Roman" w:cs="Times New Roman"/>
          <w:sz w:val="28"/>
          <w:szCs w:val="28"/>
          <w:lang w:val="uk-UA"/>
        </w:rPr>
        <w:t>м.Каховка</w:t>
      </w:r>
      <w:proofErr w:type="spellEnd"/>
      <w:r w:rsidRPr="00205BDC">
        <w:rPr>
          <w:rFonts w:ascii="Times New Roman" w:hAnsi="Times New Roman" w:cs="Times New Roman"/>
          <w:sz w:val="28"/>
          <w:szCs w:val="28"/>
          <w:lang w:val="uk-UA"/>
        </w:rPr>
        <w:t>»</w:t>
      </w:r>
    </w:p>
    <w:p w:rsidR="005C476C" w:rsidRPr="005C476C" w:rsidRDefault="005C476C" w:rsidP="002C67DA">
      <w:pPr>
        <w:spacing w:after="0"/>
        <w:ind w:firstLine="708"/>
        <w:rPr>
          <w:rFonts w:ascii="Times New Roman" w:hAnsi="Times New Roman" w:cs="Times New Roman"/>
          <w:b/>
          <w:sz w:val="28"/>
          <w:szCs w:val="28"/>
          <w:lang w:val="uk-UA"/>
        </w:rPr>
      </w:pPr>
      <w:r w:rsidRPr="005C476C">
        <w:rPr>
          <w:rFonts w:ascii="Times New Roman" w:hAnsi="Times New Roman" w:cs="Times New Roman"/>
          <w:b/>
          <w:sz w:val="28"/>
          <w:szCs w:val="28"/>
          <w:lang w:val="uk-UA"/>
        </w:rPr>
        <w:t xml:space="preserve">1. Вид та назва регуляторного акта: </w:t>
      </w:r>
    </w:p>
    <w:p w:rsidR="005C476C" w:rsidRDefault="005C476C" w:rsidP="000014CF">
      <w:pPr>
        <w:spacing w:after="0" w:line="288" w:lineRule="auto"/>
        <w:ind w:firstLine="709"/>
        <w:jc w:val="both"/>
        <w:rPr>
          <w:rFonts w:ascii="Times New Roman" w:hAnsi="Times New Roman" w:cs="Times New Roman"/>
          <w:sz w:val="28"/>
          <w:szCs w:val="28"/>
          <w:lang w:val="uk-UA"/>
        </w:rPr>
      </w:pPr>
      <w:r w:rsidRPr="005C476C">
        <w:rPr>
          <w:rFonts w:ascii="Times New Roman" w:hAnsi="Times New Roman" w:cs="Times New Roman"/>
          <w:sz w:val="28"/>
          <w:szCs w:val="28"/>
          <w:lang w:val="uk-UA"/>
        </w:rPr>
        <w:t xml:space="preserve">Проект </w:t>
      </w:r>
      <w:r>
        <w:rPr>
          <w:rFonts w:ascii="Times New Roman" w:hAnsi="Times New Roman" w:cs="Times New Roman"/>
          <w:sz w:val="28"/>
          <w:szCs w:val="28"/>
          <w:lang w:val="uk-UA"/>
        </w:rPr>
        <w:t>рішення Каховської міської ради «Про затвердження правил приймання стічних вод до систем централізованого водовідведення м. Каховка»</w:t>
      </w:r>
    </w:p>
    <w:p w:rsidR="002C67DA" w:rsidRDefault="002C67DA" w:rsidP="005C476C">
      <w:pPr>
        <w:spacing w:after="0"/>
        <w:rPr>
          <w:rFonts w:ascii="Times New Roman" w:hAnsi="Times New Roman" w:cs="Times New Roman"/>
          <w:sz w:val="28"/>
          <w:szCs w:val="28"/>
          <w:lang w:val="uk-UA"/>
        </w:rPr>
      </w:pPr>
    </w:p>
    <w:p w:rsidR="002C67DA" w:rsidRPr="002C67DA" w:rsidRDefault="002C67DA" w:rsidP="002C67DA">
      <w:pPr>
        <w:spacing w:after="0"/>
        <w:ind w:firstLine="708"/>
        <w:rPr>
          <w:rFonts w:ascii="Times New Roman" w:hAnsi="Times New Roman" w:cs="Times New Roman"/>
          <w:b/>
          <w:sz w:val="28"/>
          <w:szCs w:val="28"/>
          <w:lang w:val="uk-UA"/>
        </w:rPr>
      </w:pPr>
      <w:r w:rsidRPr="002C67DA">
        <w:rPr>
          <w:rFonts w:ascii="Times New Roman" w:hAnsi="Times New Roman" w:cs="Times New Roman"/>
          <w:b/>
          <w:sz w:val="28"/>
          <w:szCs w:val="28"/>
          <w:lang w:val="uk-UA"/>
        </w:rPr>
        <w:t>2. Виконавець заходів з відстеження:</w:t>
      </w:r>
    </w:p>
    <w:p w:rsidR="002C67DA" w:rsidRDefault="002C67DA" w:rsidP="00E8078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Комунальне виробниче управління «Каховський водоканал»</w:t>
      </w:r>
    </w:p>
    <w:p w:rsidR="002C67DA" w:rsidRDefault="002C67DA" w:rsidP="005C476C">
      <w:pPr>
        <w:spacing w:after="0"/>
        <w:rPr>
          <w:rFonts w:ascii="Times New Roman" w:hAnsi="Times New Roman" w:cs="Times New Roman"/>
          <w:sz w:val="28"/>
          <w:szCs w:val="28"/>
          <w:lang w:val="uk-UA"/>
        </w:rPr>
      </w:pPr>
    </w:p>
    <w:p w:rsidR="002C67DA" w:rsidRPr="008740B8" w:rsidRDefault="002C67DA" w:rsidP="005C476C">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8740B8">
        <w:rPr>
          <w:rFonts w:ascii="Times New Roman" w:hAnsi="Times New Roman" w:cs="Times New Roman"/>
          <w:b/>
          <w:sz w:val="28"/>
          <w:szCs w:val="28"/>
          <w:lang w:val="uk-UA"/>
        </w:rPr>
        <w:t>3. Цілі прийняття акта:</w:t>
      </w:r>
    </w:p>
    <w:p w:rsidR="002C67DA" w:rsidRDefault="002C67DA" w:rsidP="000014CF">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w:t>
      </w:r>
      <w:r>
        <w:rPr>
          <w:rFonts w:ascii="Times New Roman" w:hAnsi="Times New Roman" w:cs="Times New Roman"/>
          <w:sz w:val="28"/>
          <w:szCs w:val="28"/>
          <w:lang w:val="uk-UA"/>
        </w:rPr>
        <w:t>«Про затвердження правил приймання стічних вод до систем централізованого водовідведення м. Каховка»</w:t>
      </w:r>
      <w:r>
        <w:rPr>
          <w:rFonts w:ascii="Times New Roman" w:hAnsi="Times New Roman" w:cs="Times New Roman"/>
          <w:sz w:val="28"/>
          <w:szCs w:val="28"/>
          <w:lang w:val="uk-UA"/>
        </w:rPr>
        <w:t xml:space="preserve"> розроблено з ціллю:</w:t>
      </w:r>
    </w:p>
    <w:p w:rsidR="002C67DA" w:rsidRPr="00E80785" w:rsidRDefault="0093336B"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забезпечення недопущення замулювання, знежирювання, закупорки трубопроводів, агресивного впливу на матеріал труб, колодязів, устаткування;</w:t>
      </w:r>
    </w:p>
    <w:p w:rsidR="007978E4" w:rsidRPr="00E80785" w:rsidRDefault="0093336B"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 xml:space="preserve">забезпечення стійкої роботи очисних споруд, поліпшення очистки стічних вод </w:t>
      </w:r>
      <w:r w:rsidR="007978E4" w:rsidRPr="00E80785">
        <w:rPr>
          <w:rFonts w:ascii="Times New Roman" w:hAnsi="Times New Roman" w:cs="Times New Roman"/>
          <w:sz w:val="28"/>
          <w:szCs w:val="28"/>
          <w:lang w:val="uk-UA"/>
        </w:rPr>
        <w:t>(запобігання технологічного режиму очищення стічних вод внаслідок наднормативного надходження забруднюючих речовин);</w:t>
      </w:r>
    </w:p>
    <w:p w:rsidR="007978E4" w:rsidRPr="00E80785" w:rsidRDefault="007978E4"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встановлення допустимих концентрацій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06662F" w:rsidRPr="00E80785" w:rsidRDefault="007978E4"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забезпечення єдиного порядку проведення контролю за складом та властиво</w:t>
      </w:r>
      <w:r w:rsidR="0006662F" w:rsidRPr="00E80785">
        <w:rPr>
          <w:rFonts w:ascii="Times New Roman" w:hAnsi="Times New Roman" w:cs="Times New Roman"/>
          <w:sz w:val="28"/>
          <w:szCs w:val="28"/>
          <w:lang w:val="uk-UA"/>
        </w:rPr>
        <w:t>стями стічних вод, що скидаються до системи централізованого водовідведення м. Каховка;</w:t>
      </w:r>
    </w:p>
    <w:p w:rsidR="0093336B" w:rsidRPr="00E80785" w:rsidRDefault="0006662F"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 xml:space="preserve">мотивування підприємств, організацій, установ та фізичних осіб </w:t>
      </w:r>
      <w:r w:rsidR="001709F3" w:rsidRPr="00E80785">
        <w:rPr>
          <w:rFonts w:ascii="Times New Roman" w:hAnsi="Times New Roman" w:cs="Times New Roman"/>
          <w:sz w:val="28"/>
          <w:szCs w:val="28"/>
          <w:lang w:val="uk-UA"/>
        </w:rPr>
        <w:t>– підприємців дотримуватися встановлених норм допустимих концентрацій забруднюючих речовин стічних вод при скиді в міську систему централізованого водовідведення</w:t>
      </w:r>
    </w:p>
    <w:p w:rsidR="001709F3" w:rsidRPr="00E80785" w:rsidRDefault="001709F3"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приведення у відповідність до діючого законодавства Правил приймання стічних вод до системи централізованого водовідведення міста Каховка;</w:t>
      </w:r>
    </w:p>
    <w:p w:rsidR="001709F3" w:rsidRPr="00E80785" w:rsidRDefault="00E7327A" w:rsidP="000014CF">
      <w:pPr>
        <w:pStyle w:val="a3"/>
        <w:numPr>
          <w:ilvl w:val="0"/>
          <w:numId w:val="1"/>
        </w:numPr>
        <w:spacing w:after="0" w:line="288" w:lineRule="auto"/>
        <w:jc w:val="both"/>
        <w:rPr>
          <w:rFonts w:ascii="Times New Roman" w:hAnsi="Times New Roman" w:cs="Times New Roman"/>
          <w:sz w:val="28"/>
          <w:szCs w:val="28"/>
          <w:lang w:val="uk-UA"/>
        </w:rPr>
      </w:pPr>
      <w:r w:rsidRPr="00E80785">
        <w:rPr>
          <w:rFonts w:ascii="Times New Roman" w:hAnsi="Times New Roman" w:cs="Times New Roman"/>
          <w:sz w:val="28"/>
          <w:szCs w:val="28"/>
          <w:lang w:val="uk-UA"/>
        </w:rPr>
        <w:t>забезпечення екологічної безпеки навколишнього природного середовища від забруднення скидами стічних вод</w:t>
      </w:r>
      <w:r w:rsidR="00E80785" w:rsidRPr="00E80785">
        <w:rPr>
          <w:rFonts w:ascii="Times New Roman" w:hAnsi="Times New Roman" w:cs="Times New Roman"/>
          <w:sz w:val="28"/>
          <w:szCs w:val="28"/>
          <w:lang w:val="uk-UA"/>
        </w:rPr>
        <w:t>.</w:t>
      </w:r>
    </w:p>
    <w:p w:rsidR="00FA7BAE" w:rsidRPr="00544B0F" w:rsidRDefault="00FA7BAE" w:rsidP="005C476C">
      <w:pPr>
        <w:spacing w:after="0"/>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Pr="00544B0F">
        <w:rPr>
          <w:rFonts w:ascii="Times New Roman" w:hAnsi="Times New Roman" w:cs="Times New Roman"/>
          <w:b/>
          <w:sz w:val="28"/>
          <w:szCs w:val="28"/>
          <w:lang w:val="uk-UA"/>
        </w:rPr>
        <w:t>4. Строк виконання заходів з відстеження:</w:t>
      </w:r>
    </w:p>
    <w:p w:rsidR="00FA7BAE" w:rsidRDefault="00FA7BAE" w:rsidP="00544B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w:t>
      </w:r>
      <w:r w:rsidR="00B967D9">
        <w:rPr>
          <w:rFonts w:ascii="Times New Roman" w:hAnsi="Times New Roman" w:cs="Times New Roman"/>
          <w:sz w:val="28"/>
          <w:szCs w:val="28"/>
          <w:lang w:val="uk-UA"/>
        </w:rPr>
        <w:t>01.09</w:t>
      </w:r>
      <w:r>
        <w:rPr>
          <w:rFonts w:ascii="Times New Roman" w:hAnsi="Times New Roman" w:cs="Times New Roman"/>
          <w:sz w:val="28"/>
          <w:szCs w:val="28"/>
          <w:lang w:val="uk-UA"/>
        </w:rPr>
        <w:t xml:space="preserve">.2021 по </w:t>
      </w:r>
      <w:r w:rsidR="00B967D9">
        <w:rPr>
          <w:rFonts w:ascii="Times New Roman" w:hAnsi="Times New Roman" w:cs="Times New Roman"/>
          <w:sz w:val="28"/>
          <w:szCs w:val="28"/>
          <w:lang w:val="uk-UA"/>
        </w:rPr>
        <w:t>30.09</w:t>
      </w:r>
      <w:r>
        <w:rPr>
          <w:rFonts w:ascii="Times New Roman" w:hAnsi="Times New Roman" w:cs="Times New Roman"/>
          <w:sz w:val="28"/>
          <w:szCs w:val="28"/>
          <w:lang w:val="uk-UA"/>
        </w:rPr>
        <w:t>.2021 року</w:t>
      </w:r>
    </w:p>
    <w:p w:rsidR="00FA7BAE" w:rsidRDefault="00FA7BAE" w:rsidP="005C476C">
      <w:pPr>
        <w:spacing w:after="0"/>
        <w:rPr>
          <w:rFonts w:ascii="Times New Roman" w:hAnsi="Times New Roman" w:cs="Times New Roman"/>
          <w:sz w:val="28"/>
          <w:szCs w:val="28"/>
          <w:lang w:val="uk-UA"/>
        </w:rPr>
      </w:pPr>
    </w:p>
    <w:p w:rsidR="00FA7BAE" w:rsidRDefault="00FA7BAE" w:rsidP="005C476C">
      <w:pPr>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5. </w:t>
      </w:r>
      <w:r w:rsidRPr="00FA7BAE">
        <w:rPr>
          <w:rFonts w:ascii="Times New Roman" w:hAnsi="Times New Roman" w:cs="Times New Roman"/>
          <w:b/>
          <w:sz w:val="28"/>
          <w:szCs w:val="28"/>
          <w:lang w:val="uk-UA"/>
        </w:rPr>
        <w:t>Тип відстеження:</w:t>
      </w:r>
    </w:p>
    <w:p w:rsidR="00FA7BAE" w:rsidRDefault="00FA7BAE" w:rsidP="00544B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w:t>
      </w:r>
    </w:p>
    <w:p w:rsidR="00FA7BAE" w:rsidRDefault="00FA7BAE" w:rsidP="005C476C">
      <w:pPr>
        <w:spacing w:after="0"/>
        <w:rPr>
          <w:rFonts w:ascii="Times New Roman" w:hAnsi="Times New Roman" w:cs="Times New Roman"/>
          <w:sz w:val="28"/>
          <w:szCs w:val="28"/>
          <w:lang w:val="uk-UA"/>
        </w:rPr>
      </w:pPr>
    </w:p>
    <w:p w:rsidR="00FA7BAE" w:rsidRPr="00544B0F" w:rsidRDefault="00FA7BAE" w:rsidP="005C476C">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544B0F">
        <w:rPr>
          <w:rFonts w:ascii="Times New Roman" w:hAnsi="Times New Roman" w:cs="Times New Roman"/>
          <w:b/>
          <w:sz w:val="28"/>
          <w:szCs w:val="28"/>
          <w:lang w:val="uk-UA"/>
        </w:rPr>
        <w:t xml:space="preserve">6. </w:t>
      </w:r>
      <w:r w:rsidR="007839A9" w:rsidRPr="00544B0F">
        <w:rPr>
          <w:rFonts w:ascii="Times New Roman" w:hAnsi="Times New Roman" w:cs="Times New Roman"/>
          <w:b/>
          <w:sz w:val="28"/>
          <w:szCs w:val="28"/>
          <w:lang w:val="uk-UA"/>
        </w:rPr>
        <w:t>Метод одержання результатів відстеження:</w:t>
      </w:r>
    </w:p>
    <w:p w:rsidR="007839A9" w:rsidRDefault="00E80785" w:rsidP="00544B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Для проведення базового відстеження використовувався статистичний метод. Відстеження результативності регуляторного акта проведено відповідно до</w:t>
      </w:r>
      <w:r w:rsidR="00B967D9">
        <w:rPr>
          <w:rFonts w:ascii="Times New Roman" w:hAnsi="Times New Roman" w:cs="Times New Roman"/>
          <w:sz w:val="28"/>
          <w:szCs w:val="28"/>
          <w:lang w:val="uk-UA"/>
        </w:rPr>
        <w:t xml:space="preserve"> </w:t>
      </w:r>
      <w:r>
        <w:rPr>
          <w:rFonts w:ascii="Times New Roman" w:hAnsi="Times New Roman" w:cs="Times New Roman"/>
          <w:sz w:val="28"/>
          <w:szCs w:val="28"/>
          <w:lang w:val="uk-UA"/>
        </w:rPr>
        <w:t>даних хіміко-</w:t>
      </w:r>
      <w:r w:rsidR="00B967D9">
        <w:rPr>
          <w:rFonts w:ascii="Times New Roman" w:hAnsi="Times New Roman" w:cs="Times New Roman"/>
          <w:sz w:val="28"/>
          <w:szCs w:val="28"/>
          <w:lang w:val="uk-UA"/>
        </w:rPr>
        <w:t xml:space="preserve">бактеріологічного контролю лабораторії очисних споруд м. Каховка, даних відділу збуту та </w:t>
      </w:r>
      <w:r w:rsidR="00544B0F">
        <w:rPr>
          <w:rFonts w:ascii="Times New Roman" w:hAnsi="Times New Roman" w:cs="Times New Roman"/>
          <w:sz w:val="28"/>
          <w:szCs w:val="28"/>
          <w:lang w:val="uk-UA"/>
        </w:rPr>
        <w:t>дільниці водовідведення комунального виробничого управління «Каховський водоканал»</w:t>
      </w:r>
      <w:r w:rsidR="0078447A">
        <w:rPr>
          <w:rFonts w:ascii="Times New Roman" w:hAnsi="Times New Roman" w:cs="Times New Roman"/>
          <w:sz w:val="28"/>
          <w:szCs w:val="28"/>
          <w:lang w:val="uk-UA"/>
        </w:rPr>
        <w:t>.</w:t>
      </w:r>
    </w:p>
    <w:p w:rsidR="0078447A" w:rsidRDefault="0078447A" w:rsidP="00544B0F">
      <w:pPr>
        <w:spacing w:after="0"/>
        <w:jc w:val="both"/>
        <w:rPr>
          <w:rFonts w:ascii="Times New Roman" w:hAnsi="Times New Roman" w:cs="Times New Roman"/>
          <w:sz w:val="28"/>
          <w:szCs w:val="28"/>
          <w:lang w:val="uk-UA"/>
        </w:rPr>
      </w:pPr>
    </w:p>
    <w:p w:rsidR="0078447A" w:rsidRDefault="0078447A" w:rsidP="00544B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D3DD1">
        <w:rPr>
          <w:rFonts w:ascii="Times New Roman" w:hAnsi="Times New Roman" w:cs="Times New Roman"/>
          <w:b/>
          <w:sz w:val="28"/>
          <w:szCs w:val="28"/>
          <w:lang w:val="uk-UA"/>
        </w:rPr>
        <w:t>7.</w:t>
      </w:r>
      <w:r>
        <w:rPr>
          <w:rFonts w:ascii="Times New Roman" w:hAnsi="Times New Roman" w:cs="Times New Roman"/>
          <w:sz w:val="28"/>
          <w:szCs w:val="28"/>
          <w:lang w:val="uk-UA"/>
        </w:rPr>
        <w:t xml:space="preserve"> </w:t>
      </w:r>
      <w:r w:rsidRPr="00ED3DD1">
        <w:rPr>
          <w:rFonts w:ascii="Times New Roman" w:hAnsi="Times New Roman" w:cs="Times New Roman"/>
          <w:b/>
          <w:sz w:val="28"/>
          <w:szCs w:val="28"/>
          <w:lang w:val="uk-UA"/>
        </w:rPr>
        <w:t>Дані для припущення, на основі яких відстежувалася результативність, а також способи одержання даних:</w:t>
      </w:r>
    </w:p>
    <w:p w:rsidR="0078447A" w:rsidRDefault="00BA2434" w:rsidP="00544B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Враховуючи цілі регулювання, для відстеження результативності регуляторного акта були визначені такі показники результативності:</w:t>
      </w:r>
    </w:p>
    <w:p w:rsidR="006A209F" w:rsidRPr="009C46AB" w:rsidRDefault="00BA2434" w:rsidP="009C46AB">
      <w:pPr>
        <w:pStyle w:val="a3"/>
        <w:numPr>
          <w:ilvl w:val="0"/>
          <w:numId w:val="2"/>
        </w:numPr>
        <w:spacing w:after="0"/>
        <w:jc w:val="both"/>
        <w:rPr>
          <w:rFonts w:ascii="Times New Roman" w:hAnsi="Times New Roman" w:cs="Times New Roman"/>
          <w:sz w:val="28"/>
          <w:szCs w:val="28"/>
          <w:lang w:val="uk-UA"/>
        </w:rPr>
      </w:pPr>
      <w:r w:rsidRPr="009C46AB">
        <w:rPr>
          <w:rFonts w:ascii="Times New Roman" w:hAnsi="Times New Roman" w:cs="Times New Roman"/>
          <w:sz w:val="28"/>
          <w:szCs w:val="28"/>
          <w:lang w:val="uk-UA"/>
        </w:rPr>
        <w:t>кількість забруднюючих речовин в зворотних стічних водах, які надходять до каналізаційних очисних споруд м. Каховка;</w:t>
      </w:r>
    </w:p>
    <w:p w:rsidR="00BA2434" w:rsidRPr="009C46AB" w:rsidRDefault="00BA2434" w:rsidP="009C46AB">
      <w:pPr>
        <w:pStyle w:val="a3"/>
        <w:numPr>
          <w:ilvl w:val="0"/>
          <w:numId w:val="2"/>
        </w:numPr>
        <w:spacing w:after="0"/>
        <w:jc w:val="both"/>
        <w:rPr>
          <w:rFonts w:ascii="Times New Roman" w:hAnsi="Times New Roman" w:cs="Times New Roman"/>
          <w:sz w:val="28"/>
          <w:szCs w:val="28"/>
          <w:lang w:val="uk-UA"/>
        </w:rPr>
      </w:pPr>
      <w:r w:rsidRPr="009C46AB">
        <w:rPr>
          <w:rFonts w:ascii="Times New Roman" w:hAnsi="Times New Roman" w:cs="Times New Roman"/>
          <w:sz w:val="28"/>
          <w:szCs w:val="28"/>
          <w:lang w:val="uk-UA"/>
        </w:rPr>
        <w:t>кількість виявлених перевищень забруднюючих речовин у зворотних стічних водах, що надходять до каналізаційних очисних споруд м. Каховка;</w:t>
      </w:r>
    </w:p>
    <w:p w:rsidR="00BA2434" w:rsidRPr="009C46AB" w:rsidRDefault="00BA2434" w:rsidP="009C46AB">
      <w:pPr>
        <w:pStyle w:val="a3"/>
        <w:numPr>
          <w:ilvl w:val="0"/>
          <w:numId w:val="2"/>
        </w:numPr>
        <w:spacing w:after="0"/>
        <w:jc w:val="both"/>
        <w:rPr>
          <w:rFonts w:ascii="Times New Roman" w:hAnsi="Times New Roman" w:cs="Times New Roman"/>
          <w:sz w:val="28"/>
          <w:szCs w:val="28"/>
          <w:lang w:val="uk-UA"/>
        </w:rPr>
      </w:pPr>
      <w:r w:rsidRPr="009C46AB">
        <w:rPr>
          <w:rFonts w:ascii="Times New Roman" w:hAnsi="Times New Roman" w:cs="Times New Roman"/>
          <w:sz w:val="28"/>
          <w:szCs w:val="28"/>
          <w:lang w:val="uk-UA"/>
        </w:rPr>
        <w:t>с</w:t>
      </w:r>
      <w:r w:rsidRPr="009C46AB">
        <w:rPr>
          <w:rFonts w:ascii="Times New Roman" w:hAnsi="Times New Roman" w:cs="Times New Roman"/>
          <w:sz w:val="28"/>
          <w:szCs w:val="28"/>
          <w:lang w:val="uk-UA"/>
        </w:rPr>
        <w:t>ума надходжень грошових коштів за перевищення рівня вмісту забруднюючих речовин у зворотних стічних водах споживачів, що скидаються до системи централізованого водовідведення</w:t>
      </w:r>
      <w:r w:rsidRPr="009C46AB">
        <w:rPr>
          <w:rFonts w:ascii="Times New Roman" w:hAnsi="Times New Roman" w:cs="Times New Roman"/>
          <w:sz w:val="28"/>
          <w:szCs w:val="28"/>
          <w:lang w:val="uk-UA"/>
        </w:rPr>
        <w:t>;</w:t>
      </w:r>
    </w:p>
    <w:p w:rsidR="00BA2434" w:rsidRPr="009C46AB" w:rsidRDefault="009C46AB" w:rsidP="009C46AB">
      <w:pPr>
        <w:pStyle w:val="a3"/>
        <w:numPr>
          <w:ilvl w:val="0"/>
          <w:numId w:val="2"/>
        </w:numPr>
        <w:spacing w:after="0"/>
        <w:jc w:val="both"/>
        <w:rPr>
          <w:rFonts w:ascii="Times New Roman" w:hAnsi="Times New Roman" w:cs="Times New Roman"/>
          <w:sz w:val="28"/>
          <w:szCs w:val="28"/>
          <w:lang w:val="uk-UA"/>
        </w:rPr>
      </w:pPr>
      <w:r w:rsidRPr="009C46AB">
        <w:rPr>
          <w:rFonts w:ascii="Times New Roman" w:hAnsi="Times New Roman" w:cs="Times New Roman"/>
          <w:sz w:val="28"/>
          <w:szCs w:val="28"/>
          <w:lang w:val="uk-UA"/>
        </w:rPr>
        <w:t>р</w:t>
      </w:r>
      <w:r w:rsidRPr="009C46AB">
        <w:rPr>
          <w:rFonts w:ascii="Times New Roman" w:hAnsi="Times New Roman" w:cs="Times New Roman"/>
          <w:sz w:val="28"/>
          <w:szCs w:val="28"/>
          <w:lang w:val="uk-UA"/>
        </w:rPr>
        <w:t>івень поінформованості суб’єктів господарювання</w:t>
      </w:r>
      <w:r w:rsidRPr="009C46AB">
        <w:rPr>
          <w:rFonts w:ascii="Times New Roman" w:hAnsi="Times New Roman" w:cs="Times New Roman"/>
          <w:sz w:val="28"/>
          <w:szCs w:val="28"/>
          <w:lang w:val="uk-UA"/>
        </w:rPr>
        <w:t>.</w:t>
      </w:r>
    </w:p>
    <w:p w:rsidR="00205BDC" w:rsidRDefault="00205BDC" w:rsidP="00544B0F">
      <w:pPr>
        <w:spacing w:after="0"/>
        <w:jc w:val="both"/>
        <w:rPr>
          <w:rFonts w:ascii="Times New Roman" w:hAnsi="Times New Roman" w:cs="Times New Roman"/>
          <w:sz w:val="28"/>
          <w:szCs w:val="28"/>
          <w:lang w:val="uk-UA"/>
        </w:rPr>
      </w:pPr>
    </w:p>
    <w:p w:rsidR="00205BDC" w:rsidRPr="00205BDC" w:rsidRDefault="00205BDC" w:rsidP="00205BDC">
      <w:pPr>
        <w:spacing w:after="0"/>
        <w:ind w:firstLine="708"/>
        <w:jc w:val="both"/>
        <w:rPr>
          <w:rFonts w:ascii="Times New Roman" w:hAnsi="Times New Roman" w:cs="Times New Roman"/>
          <w:b/>
          <w:sz w:val="28"/>
          <w:szCs w:val="28"/>
          <w:lang w:val="uk-UA"/>
        </w:rPr>
      </w:pPr>
      <w:r w:rsidRPr="00205BDC">
        <w:rPr>
          <w:rFonts w:ascii="Times New Roman" w:hAnsi="Times New Roman" w:cs="Times New Roman"/>
          <w:b/>
          <w:sz w:val="28"/>
          <w:szCs w:val="28"/>
          <w:lang w:val="uk-UA"/>
        </w:rPr>
        <w:t>8. Кількісні та якісні значення показників результативності:</w:t>
      </w:r>
    </w:p>
    <w:p w:rsidR="00205BDC" w:rsidRDefault="00205BDC" w:rsidP="00544B0F">
      <w:pPr>
        <w:spacing w:after="0"/>
        <w:jc w:val="both"/>
        <w:rPr>
          <w:rFonts w:ascii="Times New Roman" w:hAnsi="Times New Roman" w:cs="Times New Roman"/>
          <w:sz w:val="28"/>
          <w:szCs w:val="28"/>
          <w:lang w:val="uk-UA"/>
        </w:rPr>
      </w:pPr>
    </w:p>
    <w:tbl>
      <w:tblPr>
        <w:tblStyle w:val="a4"/>
        <w:tblW w:w="9351" w:type="dxa"/>
        <w:tblLayout w:type="fixed"/>
        <w:tblLook w:val="04A0" w:firstRow="1" w:lastRow="0" w:firstColumn="1" w:lastColumn="0" w:noHBand="0" w:noVBand="1"/>
      </w:tblPr>
      <w:tblGrid>
        <w:gridCol w:w="706"/>
        <w:gridCol w:w="3825"/>
        <w:gridCol w:w="1560"/>
        <w:gridCol w:w="1418"/>
        <w:gridCol w:w="1842"/>
      </w:tblGrid>
      <w:tr w:rsidR="00D71F5B" w:rsidTr="00957133">
        <w:tc>
          <w:tcPr>
            <w:tcW w:w="706" w:type="dxa"/>
            <w:vAlign w:val="center"/>
          </w:tcPr>
          <w:p w:rsidR="00D71F5B" w:rsidRDefault="00D71F5B"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825" w:type="dxa"/>
            <w:vAlign w:val="center"/>
          </w:tcPr>
          <w:p w:rsidR="00D71F5B" w:rsidRDefault="00D71F5B"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результативності</w:t>
            </w:r>
          </w:p>
        </w:tc>
        <w:tc>
          <w:tcPr>
            <w:tcW w:w="1560" w:type="dxa"/>
            <w:vAlign w:val="center"/>
          </w:tcPr>
          <w:p w:rsidR="00D71F5B" w:rsidRDefault="00D71F5B"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2019</w:t>
            </w:r>
            <w:r>
              <w:rPr>
                <w:rFonts w:ascii="Times New Roman" w:hAnsi="Times New Roman" w:cs="Times New Roman"/>
                <w:sz w:val="28"/>
                <w:szCs w:val="28"/>
                <w:lang w:val="uk-UA"/>
              </w:rPr>
              <w:t xml:space="preserve"> рік</w:t>
            </w:r>
          </w:p>
        </w:tc>
        <w:tc>
          <w:tcPr>
            <w:tcW w:w="1418" w:type="dxa"/>
            <w:vAlign w:val="center"/>
          </w:tcPr>
          <w:p w:rsidR="00D71F5B" w:rsidRDefault="00D71F5B" w:rsidP="00D71F5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 рік</w:t>
            </w:r>
          </w:p>
        </w:tc>
        <w:tc>
          <w:tcPr>
            <w:tcW w:w="1842" w:type="dxa"/>
            <w:vAlign w:val="center"/>
          </w:tcPr>
          <w:p w:rsidR="00D71F5B" w:rsidRDefault="00D71F5B" w:rsidP="00D71F5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Відхилення, +/-</w:t>
            </w:r>
          </w:p>
        </w:tc>
      </w:tr>
      <w:tr w:rsidR="00071A82" w:rsidTr="00957133">
        <w:tc>
          <w:tcPr>
            <w:tcW w:w="706"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25"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60"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vAlign w:val="center"/>
          </w:tcPr>
          <w:p w:rsidR="00071A82" w:rsidRDefault="00071A82" w:rsidP="00D71F5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2" w:type="dxa"/>
            <w:vAlign w:val="center"/>
          </w:tcPr>
          <w:p w:rsidR="00071A82" w:rsidRDefault="00071A82" w:rsidP="00D71F5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A2434" w:rsidTr="00957133">
        <w:tc>
          <w:tcPr>
            <w:tcW w:w="706" w:type="dxa"/>
          </w:tcPr>
          <w:p w:rsidR="00BA2434"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645" w:type="dxa"/>
            <w:gridSpan w:val="4"/>
          </w:tcPr>
          <w:p w:rsidR="00BA2434" w:rsidRDefault="00BA2434"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забруднюючих речовин в зворотних стічних водах, які надходять до каналізаційних очисних споруд м. Каховка</w:t>
            </w:r>
          </w:p>
        </w:tc>
      </w:tr>
      <w:tr w:rsidR="005662A6" w:rsidTr="00957133">
        <w:tc>
          <w:tcPr>
            <w:tcW w:w="706"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BA2434">
              <w:rPr>
                <w:rFonts w:ascii="Times New Roman" w:hAnsi="Times New Roman" w:cs="Times New Roman"/>
                <w:sz w:val="28"/>
                <w:szCs w:val="28"/>
                <w:lang w:val="uk-UA"/>
              </w:rPr>
              <w:t>.1</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Температура, °С</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22,794</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22,853</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+0,059</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2</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Прозорість</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0,669</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0,609</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3</w:t>
            </w:r>
          </w:p>
        </w:tc>
        <w:tc>
          <w:tcPr>
            <w:tcW w:w="3825" w:type="dxa"/>
          </w:tcPr>
          <w:p w:rsidR="005662A6" w:rsidRPr="00AF0E63" w:rsidRDefault="005662A6" w:rsidP="005662A6">
            <w:pPr>
              <w:spacing w:line="276" w:lineRule="auto"/>
              <w:rPr>
                <w:rFonts w:ascii="Times New Roman" w:hAnsi="Times New Roman" w:cs="Times New Roman"/>
                <w:sz w:val="28"/>
                <w:szCs w:val="28"/>
                <w:lang w:val="uk-UA"/>
              </w:rPr>
            </w:pPr>
            <w:r w:rsidRPr="00AF0E63">
              <w:rPr>
                <w:rFonts w:ascii="Times New Roman" w:hAnsi="Times New Roman" w:cs="Times New Roman"/>
                <w:sz w:val="28"/>
                <w:szCs w:val="28"/>
                <w:lang w:val="uk-UA"/>
              </w:rPr>
              <w:t>Завислі речовини, мг/дм</w:t>
            </w:r>
            <w:r w:rsidRPr="00AF0E63">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163,618</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194,757</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+31,139</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4</w:t>
            </w:r>
          </w:p>
        </w:tc>
        <w:tc>
          <w:tcPr>
            <w:tcW w:w="3825" w:type="dxa"/>
          </w:tcPr>
          <w:p w:rsidR="005662A6" w:rsidRPr="00AF0E63" w:rsidRDefault="005662A6" w:rsidP="005662A6">
            <w:pPr>
              <w:spacing w:line="276" w:lineRule="auto"/>
              <w:rPr>
                <w:rFonts w:ascii="Times New Roman" w:hAnsi="Times New Roman" w:cs="Times New Roman"/>
                <w:sz w:val="28"/>
                <w:szCs w:val="28"/>
                <w:lang w:val="uk-UA"/>
              </w:rPr>
            </w:pPr>
            <w:r w:rsidRPr="00AF0E63">
              <w:rPr>
                <w:rFonts w:ascii="Times New Roman" w:hAnsi="Times New Roman" w:cs="Times New Roman"/>
                <w:sz w:val="28"/>
                <w:szCs w:val="28"/>
                <w:lang w:val="uk-UA"/>
              </w:rPr>
              <w:t>Сухий залишок, мг/дм</w:t>
            </w:r>
            <w:r w:rsidRPr="00AF0E63">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1008,706</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1017,667</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+8,961</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5</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ХСК, мг/Одм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307,215</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308,911</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+1,696</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6</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БСК, мг/Одм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148,031</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116,510</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-31,521</w:t>
            </w:r>
          </w:p>
        </w:tc>
      </w:tr>
      <w:tr w:rsidR="00071A82" w:rsidTr="00957133">
        <w:tc>
          <w:tcPr>
            <w:tcW w:w="706"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825"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60"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2"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7</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Хлориди,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244,897</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229,140</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-15,757</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8</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Сульфати,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102,349</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106,270</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+3,921</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9</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Залізо (загальне),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0,607</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0,595</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-0,012</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10</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Азот амонійний,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21,549</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23,288</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+1,739</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11</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Нітрити,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0,653</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0,497</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-0,156</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12</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Синтетично поверхнево-активні речовини (СПАР)</w:t>
            </w:r>
          </w:p>
        </w:tc>
        <w:tc>
          <w:tcPr>
            <w:tcW w:w="1560" w:type="dxa"/>
            <w:vAlign w:val="center"/>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0,194</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0,189</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-0,005</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13</w:t>
            </w:r>
          </w:p>
        </w:tc>
        <w:tc>
          <w:tcPr>
            <w:tcW w:w="3825" w:type="dxa"/>
          </w:tcPr>
          <w:p w:rsidR="005662A6" w:rsidRDefault="005662A6" w:rsidP="005662A6">
            <w:pPr>
              <w:spacing w:line="276"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рН</w:t>
            </w:r>
            <w:proofErr w:type="spellEnd"/>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7,502</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7,620</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+0,118</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14</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Нафтопродукти,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15</w:t>
            </w:r>
          </w:p>
        </w:tc>
        <w:tc>
          <w:tcPr>
            <w:tcW w:w="3825" w:type="dxa"/>
          </w:tcPr>
          <w:p w:rsidR="005662A6" w:rsidRPr="0027548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Хром </w:t>
            </w:r>
            <w:r>
              <w:rPr>
                <w:rFonts w:ascii="Times New Roman" w:hAnsi="Times New Roman" w:cs="Times New Roman"/>
                <w:sz w:val="28"/>
                <w:szCs w:val="28"/>
                <w:lang w:val="en-US"/>
              </w:rPr>
              <w:t>VІ</w:t>
            </w:r>
            <w:r>
              <w:rPr>
                <w:rFonts w:ascii="Times New Roman" w:hAnsi="Times New Roman" w:cs="Times New Roman"/>
                <w:sz w:val="28"/>
                <w:szCs w:val="28"/>
              </w:rPr>
              <w:t xml:space="preserve">, </w:t>
            </w:r>
            <w:r>
              <w:rPr>
                <w:rFonts w:ascii="Times New Roman" w:hAnsi="Times New Roman" w:cs="Times New Roman"/>
                <w:sz w:val="28"/>
                <w:szCs w:val="28"/>
                <w:lang w:val="uk-UA"/>
              </w:rPr>
              <w:t>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0,0059</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0,0102</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+0,0043</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16</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Мідь,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0,0142</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0,0174</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+0,0032</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17</w:t>
            </w:r>
          </w:p>
        </w:tc>
        <w:tc>
          <w:tcPr>
            <w:tcW w:w="3825" w:type="dxa"/>
          </w:tcPr>
          <w:p w:rsidR="005662A6" w:rsidRPr="00AF0E63" w:rsidRDefault="005662A6" w:rsidP="005662A6">
            <w:pPr>
              <w:spacing w:line="276" w:lineRule="auto"/>
              <w:rPr>
                <w:rFonts w:ascii="Times New Roman" w:hAnsi="Times New Roman" w:cs="Times New Roman"/>
                <w:sz w:val="28"/>
                <w:szCs w:val="28"/>
                <w:lang w:val="uk-UA"/>
              </w:rPr>
            </w:pPr>
            <w:r w:rsidRPr="00AF0E63">
              <w:rPr>
                <w:rFonts w:ascii="Times New Roman" w:hAnsi="Times New Roman" w:cs="Times New Roman"/>
                <w:sz w:val="28"/>
                <w:szCs w:val="28"/>
                <w:lang w:val="uk-UA"/>
              </w:rPr>
              <w:t>Жири, мг/дм</w:t>
            </w:r>
            <w:r w:rsidRPr="00AF0E63">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36,319</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24,188</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-12,131</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18</w:t>
            </w:r>
          </w:p>
        </w:tc>
        <w:tc>
          <w:tcPr>
            <w:tcW w:w="3825" w:type="dxa"/>
          </w:tcPr>
          <w:p w:rsidR="005662A6" w:rsidRPr="00AF0E63" w:rsidRDefault="005662A6" w:rsidP="005662A6">
            <w:pPr>
              <w:spacing w:line="276" w:lineRule="auto"/>
              <w:rPr>
                <w:rFonts w:ascii="Times New Roman" w:hAnsi="Times New Roman" w:cs="Times New Roman"/>
                <w:sz w:val="28"/>
                <w:szCs w:val="28"/>
                <w:lang w:val="uk-UA"/>
              </w:rPr>
            </w:pPr>
            <w:r w:rsidRPr="00AF0E63">
              <w:rPr>
                <w:rFonts w:ascii="Times New Roman" w:hAnsi="Times New Roman" w:cs="Times New Roman"/>
                <w:sz w:val="28"/>
                <w:szCs w:val="28"/>
                <w:lang w:val="uk-UA"/>
              </w:rPr>
              <w:t>Фосфати, мг/дм</w:t>
            </w:r>
            <w:r w:rsidRPr="00AF0E63">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5,945</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6,513</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+0,568</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19</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Нітрати,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95713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1,268</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1,156</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-0,112</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662A6">
              <w:rPr>
                <w:rFonts w:ascii="Times New Roman" w:hAnsi="Times New Roman" w:cs="Times New Roman"/>
                <w:sz w:val="28"/>
                <w:szCs w:val="28"/>
                <w:lang w:val="uk-UA"/>
              </w:rPr>
              <w:t>20</w:t>
            </w:r>
          </w:p>
        </w:tc>
        <w:tc>
          <w:tcPr>
            <w:tcW w:w="3825" w:type="dxa"/>
          </w:tcPr>
          <w:p w:rsidR="005662A6" w:rsidRDefault="005662A6"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Розчинений кисень, мг/дм</w:t>
            </w:r>
            <w:r w:rsidRPr="00275486">
              <w:rPr>
                <w:rFonts w:ascii="Times New Roman" w:hAnsi="Times New Roman" w:cs="Times New Roman"/>
                <w:sz w:val="28"/>
                <w:szCs w:val="28"/>
                <w:vertAlign w:val="superscript"/>
                <w:lang w:val="uk-UA"/>
              </w:rPr>
              <w:t>3</w:t>
            </w:r>
          </w:p>
        </w:tc>
        <w:tc>
          <w:tcPr>
            <w:tcW w:w="1560" w:type="dxa"/>
          </w:tcPr>
          <w:p w:rsidR="005662A6" w:rsidRDefault="00957133"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42" w:type="dxa"/>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662A6" w:rsidTr="00376677">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25" w:type="dxa"/>
          </w:tcPr>
          <w:p w:rsidR="005662A6" w:rsidRDefault="00BA2434" w:rsidP="00BA2434">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lang w:val="uk-UA"/>
              </w:rPr>
              <w:t>ількість виявлених перевищень забруднюючих речовин у зворотних стічних водах, що надходять до каналізаційних очисних споруд м. Каховка</w:t>
            </w:r>
          </w:p>
        </w:tc>
        <w:tc>
          <w:tcPr>
            <w:tcW w:w="1560" w:type="dxa"/>
            <w:vAlign w:val="center"/>
          </w:tcPr>
          <w:p w:rsidR="005662A6" w:rsidRDefault="00205BDC" w:rsidP="00205BD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672</w:t>
            </w:r>
          </w:p>
        </w:tc>
        <w:tc>
          <w:tcPr>
            <w:tcW w:w="1418" w:type="dxa"/>
            <w:vAlign w:val="center"/>
          </w:tcPr>
          <w:p w:rsidR="005662A6" w:rsidRDefault="005662A6" w:rsidP="00205BD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655</w:t>
            </w:r>
          </w:p>
        </w:tc>
        <w:tc>
          <w:tcPr>
            <w:tcW w:w="1842" w:type="dxa"/>
            <w:vAlign w:val="center"/>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5662A6" w:rsidTr="00376677">
        <w:tc>
          <w:tcPr>
            <w:tcW w:w="706" w:type="dxa"/>
          </w:tcPr>
          <w:p w:rsidR="005662A6" w:rsidRDefault="00BA2434" w:rsidP="00BA243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25" w:type="dxa"/>
          </w:tcPr>
          <w:p w:rsidR="005662A6" w:rsidRDefault="005662A6" w:rsidP="005662A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Сума надходжень грошових коштів за перевищення рів</w:t>
            </w:r>
            <w:r w:rsidR="00BA2434">
              <w:rPr>
                <w:rFonts w:ascii="Times New Roman" w:hAnsi="Times New Roman" w:cs="Times New Roman"/>
                <w:sz w:val="28"/>
                <w:szCs w:val="28"/>
                <w:lang w:val="uk-UA"/>
              </w:rPr>
              <w:t>ня вмісту забруднюючих речовин у зворотних</w:t>
            </w:r>
            <w:r>
              <w:rPr>
                <w:rFonts w:ascii="Times New Roman" w:hAnsi="Times New Roman" w:cs="Times New Roman"/>
                <w:sz w:val="28"/>
                <w:szCs w:val="28"/>
                <w:lang w:val="uk-UA"/>
              </w:rPr>
              <w:t xml:space="preserve"> стічних водах споживачів, що скидаються до системи централізованого водовідведення,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1560" w:type="dxa"/>
            <w:shd w:val="clear" w:color="auto" w:fill="auto"/>
            <w:vAlign w:val="center"/>
          </w:tcPr>
          <w:p w:rsidR="005662A6" w:rsidRPr="00914CE2" w:rsidRDefault="00914CE2" w:rsidP="005662A6">
            <w:pPr>
              <w:spacing w:line="276" w:lineRule="auto"/>
              <w:jc w:val="center"/>
              <w:rPr>
                <w:rFonts w:ascii="Times New Roman" w:hAnsi="Times New Roman" w:cs="Times New Roman"/>
                <w:sz w:val="28"/>
                <w:szCs w:val="28"/>
                <w:lang w:val="uk-UA"/>
              </w:rPr>
            </w:pPr>
            <w:r w:rsidRPr="00914CE2">
              <w:rPr>
                <w:rFonts w:ascii="Times New Roman" w:hAnsi="Times New Roman" w:cs="Times New Roman"/>
                <w:sz w:val="28"/>
                <w:szCs w:val="28"/>
                <w:lang w:val="uk-UA"/>
              </w:rPr>
              <w:t>1860,6</w:t>
            </w:r>
          </w:p>
        </w:tc>
        <w:tc>
          <w:tcPr>
            <w:tcW w:w="1418" w:type="dxa"/>
            <w:vAlign w:val="center"/>
          </w:tcPr>
          <w:p w:rsidR="005662A6" w:rsidRDefault="005662A6"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2635,2</w:t>
            </w:r>
          </w:p>
        </w:tc>
        <w:tc>
          <w:tcPr>
            <w:tcW w:w="1842" w:type="dxa"/>
            <w:vAlign w:val="center"/>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+774,6</w:t>
            </w:r>
          </w:p>
        </w:tc>
      </w:tr>
      <w:tr w:rsidR="005662A6" w:rsidTr="00957133">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25" w:type="dxa"/>
          </w:tcPr>
          <w:p w:rsidR="005662A6" w:rsidRDefault="005662A6" w:rsidP="005662A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поінформованості</w:t>
            </w:r>
            <w:r>
              <w:rPr>
                <w:rFonts w:ascii="Times New Roman" w:hAnsi="Times New Roman" w:cs="Times New Roman"/>
                <w:sz w:val="28"/>
                <w:szCs w:val="28"/>
                <w:lang w:val="uk-UA"/>
              </w:rPr>
              <w:t xml:space="preserve"> суб’єктів господарювання</w:t>
            </w:r>
          </w:p>
        </w:tc>
        <w:tc>
          <w:tcPr>
            <w:tcW w:w="4820" w:type="dxa"/>
            <w:gridSpan w:val="3"/>
            <w:vAlign w:val="center"/>
          </w:tcPr>
          <w:p w:rsidR="005662A6" w:rsidRPr="00071A82" w:rsidRDefault="006A209F" w:rsidP="00F66E5B">
            <w:pPr>
              <w:jc w:val="center"/>
              <w:rPr>
                <w:rFonts w:ascii="Times New Roman" w:hAnsi="Times New Roman" w:cs="Times New Roman"/>
                <w:sz w:val="24"/>
                <w:szCs w:val="24"/>
                <w:lang w:val="uk-UA"/>
              </w:rPr>
            </w:pPr>
            <w:r w:rsidRPr="00071A82">
              <w:rPr>
                <w:rFonts w:ascii="Times New Roman" w:hAnsi="Times New Roman" w:cs="Times New Roman"/>
                <w:sz w:val="24"/>
                <w:szCs w:val="24"/>
                <w:lang w:val="uk-UA"/>
              </w:rPr>
              <w:t>Рішення про затвердження правил приймання стічних вод до систем централізованого водовідведення м. Каховка, оприлюднювалося на сайті Каховської міської ради, офіційному сайті комунального виробничого управління «Каховський водоканал». Виконання індивідуального інформування споживачів, які підпадають під дію Правил планується шляхом укладання додаткової угоди до договору на водопостачання і водовідведення.</w:t>
            </w:r>
          </w:p>
        </w:tc>
      </w:tr>
      <w:tr w:rsidR="00071A82" w:rsidTr="00957133">
        <w:tc>
          <w:tcPr>
            <w:tcW w:w="706"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825"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60"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2" w:type="dxa"/>
            <w:vAlign w:val="center"/>
          </w:tcPr>
          <w:p w:rsidR="00071A82" w:rsidRDefault="00071A82" w:rsidP="0092113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662A6" w:rsidTr="00376677">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25" w:type="dxa"/>
          </w:tcPr>
          <w:p w:rsidR="005662A6" w:rsidRDefault="005662A6" w:rsidP="005662A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забоїв каналізаційних мереж</w:t>
            </w:r>
          </w:p>
        </w:tc>
        <w:tc>
          <w:tcPr>
            <w:tcW w:w="1560" w:type="dxa"/>
            <w:vAlign w:val="center"/>
          </w:tcPr>
          <w:p w:rsidR="005662A6" w:rsidRDefault="00205BDC"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418" w:type="dxa"/>
            <w:vAlign w:val="center"/>
          </w:tcPr>
          <w:p w:rsidR="005662A6" w:rsidRDefault="00205BDC"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474</w:t>
            </w:r>
          </w:p>
        </w:tc>
        <w:tc>
          <w:tcPr>
            <w:tcW w:w="1842" w:type="dxa"/>
            <w:vAlign w:val="center"/>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r>
      <w:tr w:rsidR="005662A6" w:rsidTr="00376677">
        <w:tc>
          <w:tcPr>
            <w:tcW w:w="706" w:type="dxa"/>
          </w:tcPr>
          <w:p w:rsidR="005662A6" w:rsidRDefault="00BA2434" w:rsidP="005662A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3825" w:type="dxa"/>
          </w:tcPr>
          <w:p w:rsidR="005662A6" w:rsidRDefault="005662A6" w:rsidP="005662A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них засмічених жиром:</w:t>
            </w:r>
          </w:p>
        </w:tc>
        <w:tc>
          <w:tcPr>
            <w:tcW w:w="1560" w:type="dxa"/>
            <w:vAlign w:val="center"/>
          </w:tcPr>
          <w:p w:rsidR="005662A6" w:rsidRDefault="00205BDC"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324</w:t>
            </w:r>
          </w:p>
        </w:tc>
        <w:tc>
          <w:tcPr>
            <w:tcW w:w="1418" w:type="dxa"/>
            <w:vAlign w:val="center"/>
          </w:tcPr>
          <w:p w:rsidR="005662A6" w:rsidRDefault="00205BDC"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w:t>
            </w:r>
          </w:p>
        </w:tc>
        <w:tc>
          <w:tcPr>
            <w:tcW w:w="1842" w:type="dxa"/>
            <w:vAlign w:val="center"/>
          </w:tcPr>
          <w:p w:rsidR="005662A6" w:rsidRDefault="00376677" w:rsidP="005662A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r>
    </w:tbl>
    <w:p w:rsidR="00293832" w:rsidRDefault="00293832" w:rsidP="00544B0F">
      <w:pPr>
        <w:spacing w:after="0"/>
        <w:jc w:val="both"/>
        <w:rPr>
          <w:rFonts w:ascii="Times New Roman" w:hAnsi="Times New Roman" w:cs="Times New Roman"/>
          <w:sz w:val="28"/>
          <w:szCs w:val="28"/>
          <w:lang w:val="uk-UA"/>
        </w:rPr>
      </w:pPr>
    </w:p>
    <w:p w:rsidR="00544B0F" w:rsidRPr="00F11746" w:rsidRDefault="005662A6" w:rsidP="00F11746">
      <w:pPr>
        <w:spacing w:after="0"/>
        <w:jc w:val="both"/>
        <w:rPr>
          <w:rFonts w:ascii="Times New Roman" w:hAnsi="Times New Roman" w:cs="Times New Roman"/>
          <w:b/>
          <w:sz w:val="28"/>
          <w:szCs w:val="28"/>
          <w:lang w:val="uk-UA"/>
        </w:rPr>
      </w:pPr>
      <w:r w:rsidRPr="00F11746">
        <w:rPr>
          <w:rFonts w:ascii="Times New Roman" w:hAnsi="Times New Roman" w:cs="Times New Roman"/>
          <w:b/>
          <w:sz w:val="28"/>
          <w:szCs w:val="28"/>
          <w:lang w:val="uk-UA"/>
        </w:rPr>
        <w:t xml:space="preserve">9.  Оцінка результатів реалізації регуляторного акта та ступеня </w:t>
      </w:r>
      <w:r w:rsidR="00205BDC" w:rsidRPr="00F11746">
        <w:rPr>
          <w:rFonts w:ascii="Times New Roman" w:hAnsi="Times New Roman" w:cs="Times New Roman"/>
          <w:b/>
          <w:sz w:val="28"/>
          <w:szCs w:val="28"/>
          <w:lang w:val="uk-UA"/>
        </w:rPr>
        <w:t>досягнення</w:t>
      </w:r>
      <w:r w:rsidRPr="00F11746">
        <w:rPr>
          <w:rFonts w:ascii="Times New Roman" w:hAnsi="Times New Roman" w:cs="Times New Roman"/>
          <w:b/>
          <w:sz w:val="28"/>
          <w:szCs w:val="28"/>
          <w:lang w:val="uk-UA"/>
        </w:rPr>
        <w:t xml:space="preserve"> визначених цілей:</w:t>
      </w:r>
    </w:p>
    <w:p w:rsidR="008B5A76" w:rsidRDefault="008B5A76" w:rsidP="005C476C">
      <w:pPr>
        <w:spacing w:after="0"/>
        <w:rPr>
          <w:rFonts w:ascii="Times New Roman" w:hAnsi="Times New Roman" w:cs="Times New Roman"/>
          <w:sz w:val="28"/>
          <w:szCs w:val="28"/>
          <w:lang w:val="uk-UA"/>
        </w:rPr>
      </w:pPr>
    </w:p>
    <w:p w:rsidR="00F11746" w:rsidRDefault="000808AF" w:rsidP="000808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Дія цього регуляторного акта сприяє</w:t>
      </w:r>
      <w:r w:rsidR="00396C81">
        <w:rPr>
          <w:rFonts w:ascii="Times New Roman" w:hAnsi="Times New Roman" w:cs="Times New Roman"/>
          <w:sz w:val="28"/>
          <w:szCs w:val="28"/>
          <w:lang w:val="uk-UA"/>
        </w:rPr>
        <w:t xml:space="preserve"> підвищенню ефективності роботи системи централізованого водовідведення, каналізаційних очисних споруд м. Каховка та забезпечує екологічну безпеку навколишнього природного середовища водного ресурсу міста (р. Дніпро) </w:t>
      </w:r>
      <w:r w:rsidR="00396C81">
        <w:rPr>
          <w:rFonts w:ascii="Times New Roman" w:hAnsi="Times New Roman" w:cs="Times New Roman"/>
          <w:sz w:val="28"/>
          <w:szCs w:val="28"/>
          <w:lang w:val="uk-UA"/>
        </w:rPr>
        <w:t>від забруднення</w:t>
      </w:r>
      <w:r w:rsidR="00396C81">
        <w:rPr>
          <w:rFonts w:ascii="Times New Roman" w:hAnsi="Times New Roman" w:cs="Times New Roman"/>
          <w:sz w:val="28"/>
          <w:szCs w:val="28"/>
          <w:lang w:val="uk-UA"/>
        </w:rPr>
        <w:t xml:space="preserve"> зворотними стічними водами споживачів – суб’єктів господарювання. </w:t>
      </w:r>
    </w:p>
    <w:p w:rsidR="000808AF" w:rsidRDefault="000808AF" w:rsidP="000808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отриманих показників базове відстеження результативності регуляторного акта можна зробити висновок про його ефективність та досягнення визначених цілей.</w:t>
      </w:r>
    </w:p>
    <w:p w:rsidR="000808AF" w:rsidRDefault="000808AF" w:rsidP="000808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повторного відстеження при порівнянні з результатами базового відстеження буде визначена ефективність та доцільність регуляторного акту.</w:t>
      </w:r>
    </w:p>
    <w:p w:rsidR="000808AF" w:rsidRDefault="000808AF" w:rsidP="000808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5D11D3" w:rsidRDefault="005D11D3"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0808AF" w:rsidRDefault="005D11D3" w:rsidP="005C476C">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w:t>
      </w:r>
    </w:p>
    <w:p w:rsidR="005D11D3" w:rsidRDefault="005D11D3" w:rsidP="005C476C">
      <w:pPr>
        <w:spacing w:after="0"/>
        <w:rPr>
          <w:rFonts w:ascii="Times New Roman" w:hAnsi="Times New Roman" w:cs="Times New Roman"/>
          <w:sz w:val="28"/>
          <w:szCs w:val="28"/>
          <w:lang w:val="uk-UA"/>
        </w:rPr>
      </w:pPr>
      <w:r>
        <w:rPr>
          <w:rFonts w:ascii="Times New Roman" w:hAnsi="Times New Roman" w:cs="Times New Roman"/>
          <w:sz w:val="28"/>
          <w:szCs w:val="28"/>
          <w:lang w:val="uk-UA"/>
        </w:rPr>
        <w:t>КВУ «Каховський водоканал»</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І.Є. Насонов</w:t>
      </w: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bookmarkStart w:id="0" w:name="_GoBack"/>
      <w:bookmarkEnd w:id="0"/>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Default="00396C81" w:rsidP="005C476C">
      <w:pPr>
        <w:spacing w:after="0"/>
        <w:rPr>
          <w:rFonts w:ascii="Times New Roman" w:hAnsi="Times New Roman" w:cs="Times New Roman"/>
          <w:sz w:val="28"/>
          <w:szCs w:val="28"/>
          <w:lang w:val="uk-UA"/>
        </w:rPr>
      </w:pPr>
    </w:p>
    <w:p w:rsidR="00396C81" w:rsidRPr="00396C81" w:rsidRDefault="00396C81" w:rsidP="005C476C">
      <w:pPr>
        <w:spacing w:after="0"/>
        <w:rPr>
          <w:rFonts w:ascii="Times New Roman" w:hAnsi="Times New Roman" w:cs="Times New Roman"/>
          <w:sz w:val="18"/>
          <w:szCs w:val="18"/>
          <w:lang w:val="uk-UA"/>
        </w:rPr>
      </w:pPr>
      <w:proofErr w:type="spellStart"/>
      <w:r w:rsidRPr="00396C81">
        <w:rPr>
          <w:rFonts w:ascii="Times New Roman" w:hAnsi="Times New Roman" w:cs="Times New Roman"/>
          <w:sz w:val="18"/>
          <w:szCs w:val="18"/>
          <w:lang w:val="uk-UA"/>
        </w:rPr>
        <w:t>Літовченко</w:t>
      </w:r>
      <w:proofErr w:type="spellEnd"/>
      <w:r w:rsidRPr="00396C81">
        <w:rPr>
          <w:rFonts w:ascii="Times New Roman" w:hAnsi="Times New Roman" w:cs="Times New Roman"/>
          <w:sz w:val="18"/>
          <w:szCs w:val="18"/>
          <w:lang w:val="uk-UA"/>
        </w:rPr>
        <w:t xml:space="preserve"> І. (05536)21194</w:t>
      </w:r>
    </w:p>
    <w:sectPr w:rsidR="00396C81" w:rsidRPr="00396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2028"/>
    <w:multiLevelType w:val="hybridMultilevel"/>
    <w:tmpl w:val="B2FE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660B22"/>
    <w:multiLevelType w:val="hybridMultilevel"/>
    <w:tmpl w:val="6FA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6C"/>
    <w:rsid w:val="000014CF"/>
    <w:rsid w:val="0006662F"/>
    <w:rsid w:val="00071A82"/>
    <w:rsid w:val="000808AF"/>
    <w:rsid w:val="001709F3"/>
    <w:rsid w:val="00205BDC"/>
    <w:rsid w:val="00293832"/>
    <w:rsid w:val="002C67DA"/>
    <w:rsid w:val="002F077B"/>
    <w:rsid w:val="00376677"/>
    <w:rsid w:val="00396C81"/>
    <w:rsid w:val="00544B0F"/>
    <w:rsid w:val="005662A6"/>
    <w:rsid w:val="005C476C"/>
    <w:rsid w:val="005D11D3"/>
    <w:rsid w:val="00694AC6"/>
    <w:rsid w:val="006A209F"/>
    <w:rsid w:val="006D2CF1"/>
    <w:rsid w:val="007839A9"/>
    <w:rsid w:val="0078447A"/>
    <w:rsid w:val="007978E4"/>
    <w:rsid w:val="007F042E"/>
    <w:rsid w:val="008740B8"/>
    <w:rsid w:val="008B5A76"/>
    <w:rsid w:val="00914CE2"/>
    <w:rsid w:val="0093336B"/>
    <w:rsid w:val="00957133"/>
    <w:rsid w:val="009C46AB"/>
    <w:rsid w:val="00B27FAD"/>
    <w:rsid w:val="00B721C9"/>
    <w:rsid w:val="00B967D9"/>
    <w:rsid w:val="00BA2434"/>
    <w:rsid w:val="00C87D55"/>
    <w:rsid w:val="00CA36F2"/>
    <w:rsid w:val="00D71F5B"/>
    <w:rsid w:val="00E7327A"/>
    <w:rsid w:val="00E80785"/>
    <w:rsid w:val="00ED3DD1"/>
    <w:rsid w:val="00F11746"/>
    <w:rsid w:val="00F66E5B"/>
    <w:rsid w:val="00FA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1F6"/>
  <w15:chartTrackingRefBased/>
  <w15:docId w15:val="{31156B45-4486-4686-BAE2-B2DB7F90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785"/>
    <w:pPr>
      <w:ind w:left="720"/>
      <w:contextualSpacing/>
    </w:pPr>
  </w:style>
  <w:style w:type="table" w:styleId="a4">
    <w:name w:val="Table Grid"/>
    <w:basedOn w:val="a1"/>
    <w:uiPriority w:val="39"/>
    <w:rsid w:val="00D7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62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6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6237-BB5E-4CF9-955C-60BCCA35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24</cp:revision>
  <cp:lastPrinted>2021-10-20T08:26:00Z</cp:lastPrinted>
  <dcterms:created xsi:type="dcterms:W3CDTF">2021-10-20T04:48:00Z</dcterms:created>
  <dcterms:modified xsi:type="dcterms:W3CDTF">2021-10-20T12:51:00Z</dcterms:modified>
</cp:coreProperties>
</file>